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B7" w:rsidRPr="00E524B7" w:rsidRDefault="00E524B7" w:rsidP="00E524B7">
      <w:pPr>
        <w:widowControl/>
        <w:jc w:val="center"/>
        <w:rPr>
          <w:rFonts w:ascii="Arial" w:eastAsia="宋体" w:hAnsi="Arial" w:cs="Arial"/>
          <w:color w:val="565862"/>
          <w:kern w:val="0"/>
          <w:sz w:val="24"/>
          <w:szCs w:val="24"/>
        </w:rPr>
      </w:pPr>
      <w:r w:rsidRPr="00E524B7">
        <w:rPr>
          <w:rFonts w:ascii="方正小标宋_GBK" w:eastAsia="方正小标宋_GBK" w:hAnsi="Arial" w:cs="Arial" w:hint="eastAsia"/>
          <w:color w:val="000000"/>
          <w:kern w:val="0"/>
          <w:sz w:val="30"/>
          <w:szCs w:val="30"/>
        </w:rPr>
        <w:t>关于调整优化节能产品、环境标志产品政府采购执行机制的通知</w:t>
      </w:r>
    </w:p>
    <w:p w:rsidR="00E524B7" w:rsidRPr="00E524B7" w:rsidRDefault="00E524B7" w:rsidP="00E524B7">
      <w:pPr>
        <w:widowControl/>
        <w:jc w:val="center"/>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财库〔</w:t>
      </w:r>
      <w:r w:rsidRPr="00E524B7">
        <w:rPr>
          <w:rFonts w:ascii="Times New Roman" w:eastAsia="宋体" w:hAnsi="Times New Roman" w:cs="Times New Roman"/>
          <w:color w:val="000000"/>
          <w:kern w:val="0"/>
          <w:sz w:val="30"/>
          <w:szCs w:val="30"/>
        </w:rPr>
        <w:t>2019</w:t>
      </w:r>
      <w:r w:rsidRPr="00E524B7">
        <w:rPr>
          <w:rFonts w:ascii="方正仿宋_GBK" w:eastAsia="方正仿宋_GBK" w:hAnsi="Arial" w:cs="Arial" w:hint="eastAsia"/>
          <w:color w:val="000000"/>
          <w:kern w:val="0"/>
          <w:sz w:val="30"/>
          <w:szCs w:val="30"/>
        </w:rPr>
        <w:t>〕</w:t>
      </w:r>
      <w:r w:rsidRPr="00E524B7">
        <w:rPr>
          <w:rFonts w:ascii="Times New Roman" w:eastAsia="宋体" w:hAnsi="Times New Roman" w:cs="Times New Roman"/>
          <w:color w:val="000000"/>
          <w:kern w:val="0"/>
          <w:sz w:val="30"/>
          <w:szCs w:val="30"/>
        </w:rPr>
        <w:t>9</w:t>
      </w:r>
      <w:r w:rsidRPr="00E524B7">
        <w:rPr>
          <w:rFonts w:ascii="方正仿宋_GBK" w:eastAsia="方正仿宋_GBK" w:hAnsi="Arial" w:cs="Arial" w:hint="eastAsia"/>
          <w:color w:val="000000"/>
          <w:kern w:val="0"/>
          <w:sz w:val="30"/>
          <w:szCs w:val="30"/>
        </w:rPr>
        <w:t>号</w:t>
      </w:r>
    </w:p>
    <w:p w:rsidR="00E524B7" w:rsidRPr="00E524B7" w:rsidRDefault="00E524B7" w:rsidP="00E524B7">
      <w:pPr>
        <w:widowControl/>
        <w:spacing w:after="150"/>
        <w:jc w:val="center"/>
        <w:rPr>
          <w:rFonts w:ascii="Arial" w:eastAsia="宋体" w:hAnsi="Arial" w:cs="Arial"/>
          <w:color w:val="565862"/>
          <w:kern w:val="0"/>
          <w:sz w:val="24"/>
          <w:szCs w:val="24"/>
        </w:rPr>
      </w:pPr>
      <w:r w:rsidRPr="00E524B7">
        <w:rPr>
          <w:rFonts w:ascii="Arial" w:eastAsia="宋体" w:hAnsi="Arial" w:cs="Arial"/>
          <w:color w:val="565862"/>
          <w:kern w:val="0"/>
          <w:sz w:val="24"/>
          <w:szCs w:val="24"/>
        </w:rPr>
        <w:t> </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有关中央预算单位，各省、自治区、直辖市、计划单列市财政厅（局）、发展改革委（经信委、工信委、工信厅、经信局）、生态环境厅（局）、市场监管部门，新疆生产建设兵团财政局、发展改革委、工信委、环境保护局、市场监管局：</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为落实</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放管服</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改革要求，完善政府绿色采购政策，简化节能（节水）产品、环境标志产品政府采购执行机制，优化供应商参与政府采购活动的市场环境，现就节能产品、环境标志产品政府采购有关事项通知如下：</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节能产品政府采购清单</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和</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环境标志产品政府采购清单</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二、依据品目清单和认证证书实施政府优先采购和强制采购。采购人拟采购的产品属于品目清单范围的，采购人及其委托的采购代理机构应当依据国家确定的认证机构出具的、处于</w:t>
      </w:r>
      <w:r w:rsidRPr="00E524B7">
        <w:rPr>
          <w:rFonts w:ascii="方正仿宋_GBK" w:eastAsia="方正仿宋_GBK" w:hAnsi="Arial" w:cs="Arial" w:hint="eastAsia"/>
          <w:color w:val="000000"/>
          <w:kern w:val="0"/>
          <w:sz w:val="30"/>
          <w:szCs w:val="30"/>
        </w:rPr>
        <w:lastRenderedPageBreak/>
        <w:t>有效期之内的节能产品、环境标志产品认证证书，对获得证书的产品实施政府优先采购或强制采购。</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双随机、一公开</w:t>
      </w:r>
      <w:r w:rsidRPr="00E524B7">
        <w:rPr>
          <w:rFonts w:ascii="Times New Roman" w:eastAsia="宋体" w:hAnsi="Times New Roman" w:cs="Times New Roman"/>
          <w:color w:val="000000"/>
          <w:kern w:val="0"/>
          <w:sz w:val="30"/>
          <w:szCs w:val="30"/>
        </w:rPr>
        <w:t>”</w:t>
      </w:r>
      <w:r w:rsidRPr="00E524B7">
        <w:rPr>
          <w:rFonts w:ascii="方正仿宋_GBK" w:eastAsia="方正仿宋_GBK" w:hAnsi="Arial" w:cs="Arial" w:hint="eastAsia"/>
          <w:color w:val="000000"/>
          <w:kern w:val="0"/>
          <w:sz w:val="30"/>
          <w:szCs w:val="30"/>
        </w:rPr>
        <w:t>监管，建立认证机构信用监管机制，严厉打击认证违法行为。</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sidRPr="00E524B7">
        <w:rPr>
          <w:rFonts w:ascii="Times New Roman" w:eastAsia="宋体" w:hAnsi="Times New Roman" w:cs="Times New Roman"/>
          <w:color w:val="000000"/>
          <w:kern w:val="0"/>
          <w:sz w:val="30"/>
          <w:szCs w:val="30"/>
        </w:rPr>
        <w:t>www.ccgp.gov.cn</w:t>
      </w:r>
      <w:r w:rsidRPr="00E524B7">
        <w:rPr>
          <w:rFonts w:ascii="方正仿宋_GBK" w:eastAsia="方正仿宋_GBK" w:hAnsi="Arial" w:cs="Arial" w:hint="eastAsia"/>
          <w:color w:val="000000"/>
          <w:kern w:val="0"/>
          <w:sz w:val="30"/>
          <w:szCs w:val="30"/>
        </w:rPr>
        <w:t>）建立与认证结果信息发布平台的链接，方便采购人和采购代理机构查询、了解认证机构和获证产品相关情况。</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E524B7" w:rsidRPr="00E524B7" w:rsidRDefault="00E524B7" w:rsidP="00E524B7">
      <w:pPr>
        <w:widowControl/>
        <w:spacing w:line="432" w:lineRule="atLeast"/>
        <w:ind w:firstLine="600"/>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lastRenderedPageBreak/>
        <w:t>六、本通知自</w:t>
      </w:r>
      <w:r w:rsidRPr="00E524B7">
        <w:rPr>
          <w:rFonts w:ascii="Times New Roman" w:eastAsia="宋体" w:hAnsi="Times New Roman" w:cs="Times New Roman"/>
          <w:color w:val="000000"/>
          <w:kern w:val="0"/>
          <w:sz w:val="30"/>
          <w:szCs w:val="30"/>
        </w:rPr>
        <w:t>2019</w:t>
      </w:r>
      <w:r w:rsidRPr="00E524B7">
        <w:rPr>
          <w:rFonts w:ascii="方正仿宋_GBK" w:eastAsia="方正仿宋_GBK" w:hAnsi="Arial" w:cs="Arial" w:hint="eastAsia"/>
          <w:color w:val="000000"/>
          <w:kern w:val="0"/>
          <w:sz w:val="30"/>
          <w:szCs w:val="30"/>
        </w:rPr>
        <w:t>年</w:t>
      </w:r>
      <w:r w:rsidRPr="00E524B7">
        <w:rPr>
          <w:rFonts w:ascii="Times New Roman" w:eastAsia="宋体" w:hAnsi="Times New Roman" w:cs="Times New Roman"/>
          <w:color w:val="000000"/>
          <w:kern w:val="0"/>
          <w:sz w:val="30"/>
          <w:szCs w:val="30"/>
        </w:rPr>
        <w:t>4</w:t>
      </w:r>
      <w:r w:rsidRPr="00E524B7">
        <w:rPr>
          <w:rFonts w:ascii="方正仿宋_GBK" w:eastAsia="方正仿宋_GBK" w:hAnsi="Arial" w:cs="Arial" w:hint="eastAsia"/>
          <w:color w:val="000000"/>
          <w:kern w:val="0"/>
          <w:sz w:val="30"/>
          <w:szCs w:val="30"/>
        </w:rPr>
        <w:t>月</w:t>
      </w:r>
      <w:r w:rsidRPr="00E524B7">
        <w:rPr>
          <w:rFonts w:ascii="Times New Roman" w:eastAsia="宋体" w:hAnsi="Times New Roman" w:cs="Times New Roman"/>
          <w:color w:val="000000"/>
          <w:kern w:val="0"/>
          <w:sz w:val="30"/>
          <w:szCs w:val="30"/>
        </w:rPr>
        <w:t>1</w:t>
      </w:r>
      <w:r w:rsidRPr="00E524B7">
        <w:rPr>
          <w:rFonts w:ascii="方正仿宋_GBK" w:eastAsia="方正仿宋_GBK" w:hAnsi="Arial" w:cs="Arial" w:hint="eastAsia"/>
          <w:color w:val="000000"/>
          <w:kern w:val="0"/>
          <w:sz w:val="30"/>
          <w:szCs w:val="30"/>
        </w:rPr>
        <w:t>日起执行。《财政部</w:t>
      </w:r>
      <w:r w:rsidRPr="00E524B7">
        <w:rPr>
          <w:rFonts w:ascii="Times New Roman" w:eastAsia="宋体" w:hAnsi="Times New Roman" w:cs="Times New Roman"/>
          <w:color w:val="000000"/>
          <w:kern w:val="0"/>
          <w:sz w:val="30"/>
          <w:szCs w:val="30"/>
        </w:rPr>
        <w:t> </w:t>
      </w:r>
      <w:r w:rsidRPr="00E524B7">
        <w:rPr>
          <w:rFonts w:ascii="方正仿宋_GBK" w:eastAsia="方正仿宋_GBK" w:hAnsi="Arial" w:cs="Arial" w:hint="eastAsia"/>
          <w:color w:val="000000"/>
          <w:kern w:val="0"/>
          <w:sz w:val="30"/>
          <w:szCs w:val="30"/>
        </w:rPr>
        <w:t>生态环境部关于调整公布第二十二期环境标志产品政府采购清单的通知》（财库〔</w:t>
      </w:r>
      <w:r w:rsidRPr="00E524B7">
        <w:rPr>
          <w:rFonts w:ascii="Times New Roman" w:eastAsia="宋体" w:hAnsi="Times New Roman" w:cs="Times New Roman"/>
          <w:color w:val="000000"/>
          <w:kern w:val="0"/>
          <w:sz w:val="30"/>
          <w:szCs w:val="30"/>
        </w:rPr>
        <w:t>2018</w:t>
      </w:r>
      <w:r w:rsidRPr="00E524B7">
        <w:rPr>
          <w:rFonts w:ascii="方正仿宋_GBK" w:eastAsia="方正仿宋_GBK" w:hAnsi="Arial" w:cs="Arial" w:hint="eastAsia"/>
          <w:color w:val="000000"/>
          <w:kern w:val="0"/>
          <w:sz w:val="30"/>
          <w:szCs w:val="30"/>
        </w:rPr>
        <w:t>〕</w:t>
      </w:r>
      <w:r w:rsidRPr="00E524B7">
        <w:rPr>
          <w:rFonts w:ascii="Times New Roman" w:eastAsia="宋体" w:hAnsi="Times New Roman" w:cs="Times New Roman"/>
          <w:color w:val="000000"/>
          <w:kern w:val="0"/>
          <w:sz w:val="30"/>
          <w:szCs w:val="30"/>
        </w:rPr>
        <w:t>70</w:t>
      </w:r>
      <w:r w:rsidRPr="00E524B7">
        <w:rPr>
          <w:rFonts w:ascii="方正仿宋_GBK" w:eastAsia="方正仿宋_GBK" w:hAnsi="Arial" w:cs="Arial" w:hint="eastAsia"/>
          <w:color w:val="000000"/>
          <w:kern w:val="0"/>
          <w:sz w:val="30"/>
          <w:szCs w:val="30"/>
        </w:rPr>
        <w:t>号）和《财政部</w:t>
      </w:r>
      <w:r w:rsidRPr="00E524B7">
        <w:rPr>
          <w:rFonts w:ascii="Times New Roman" w:eastAsia="宋体" w:hAnsi="Times New Roman" w:cs="Times New Roman"/>
          <w:color w:val="000000"/>
          <w:kern w:val="0"/>
          <w:sz w:val="30"/>
          <w:szCs w:val="30"/>
        </w:rPr>
        <w:t> </w:t>
      </w:r>
      <w:r w:rsidRPr="00E524B7">
        <w:rPr>
          <w:rFonts w:ascii="方正仿宋_GBK" w:eastAsia="方正仿宋_GBK" w:hAnsi="Arial" w:cs="Arial" w:hint="eastAsia"/>
          <w:color w:val="000000"/>
          <w:kern w:val="0"/>
          <w:sz w:val="30"/>
          <w:szCs w:val="30"/>
        </w:rPr>
        <w:t>国家发展改革委关于调整公布第二十四期节能产品政府采购清单的通知》（财库〔</w:t>
      </w:r>
      <w:r w:rsidRPr="00E524B7">
        <w:rPr>
          <w:rFonts w:ascii="Times New Roman" w:eastAsia="宋体" w:hAnsi="Times New Roman" w:cs="Times New Roman"/>
          <w:color w:val="000000"/>
          <w:kern w:val="0"/>
          <w:sz w:val="30"/>
          <w:szCs w:val="30"/>
        </w:rPr>
        <w:t>2018</w:t>
      </w:r>
      <w:r w:rsidRPr="00E524B7">
        <w:rPr>
          <w:rFonts w:ascii="方正仿宋_GBK" w:eastAsia="方正仿宋_GBK" w:hAnsi="Arial" w:cs="Arial" w:hint="eastAsia"/>
          <w:color w:val="000000"/>
          <w:kern w:val="0"/>
          <w:sz w:val="30"/>
          <w:szCs w:val="30"/>
        </w:rPr>
        <w:t>〕</w:t>
      </w:r>
      <w:r w:rsidRPr="00E524B7">
        <w:rPr>
          <w:rFonts w:ascii="Times New Roman" w:eastAsia="宋体" w:hAnsi="Times New Roman" w:cs="Times New Roman"/>
          <w:color w:val="000000"/>
          <w:kern w:val="0"/>
          <w:sz w:val="30"/>
          <w:szCs w:val="30"/>
        </w:rPr>
        <w:t>73</w:t>
      </w:r>
      <w:r w:rsidRPr="00E524B7">
        <w:rPr>
          <w:rFonts w:ascii="方正仿宋_GBK" w:eastAsia="方正仿宋_GBK" w:hAnsi="Arial" w:cs="Arial" w:hint="eastAsia"/>
          <w:color w:val="000000"/>
          <w:kern w:val="0"/>
          <w:sz w:val="30"/>
          <w:szCs w:val="30"/>
        </w:rPr>
        <w:t>号）同时停止执行。</w:t>
      </w:r>
    </w:p>
    <w:p w:rsidR="00E524B7" w:rsidRPr="00E524B7" w:rsidRDefault="00E524B7" w:rsidP="00E524B7">
      <w:pPr>
        <w:widowControl/>
        <w:spacing w:line="432" w:lineRule="atLeast"/>
        <w:ind w:firstLine="600"/>
        <w:jc w:val="left"/>
        <w:rPr>
          <w:rFonts w:ascii="Arial" w:eastAsia="宋体" w:hAnsi="Arial" w:cs="Arial"/>
          <w:color w:val="565862"/>
          <w:kern w:val="0"/>
          <w:sz w:val="24"/>
          <w:szCs w:val="24"/>
        </w:rPr>
      </w:pPr>
      <w:r w:rsidRPr="00E524B7">
        <w:rPr>
          <w:rFonts w:ascii="Times New Roman" w:eastAsia="宋体" w:hAnsi="Times New Roman" w:cs="Times New Roman"/>
          <w:color w:val="000000"/>
          <w:kern w:val="0"/>
          <w:sz w:val="30"/>
          <w:szCs w:val="30"/>
        </w:rPr>
        <w:t> </w:t>
      </w:r>
    </w:p>
    <w:p w:rsidR="00E524B7" w:rsidRPr="00E524B7" w:rsidRDefault="00E524B7" w:rsidP="00E524B7">
      <w:pPr>
        <w:widowControl/>
        <w:spacing w:line="432" w:lineRule="atLeast"/>
        <w:ind w:firstLine="600"/>
        <w:jc w:val="left"/>
        <w:rPr>
          <w:rFonts w:ascii="Arial" w:eastAsia="宋体" w:hAnsi="Arial" w:cs="Arial"/>
          <w:color w:val="565862"/>
          <w:kern w:val="0"/>
          <w:sz w:val="24"/>
          <w:szCs w:val="24"/>
        </w:rPr>
      </w:pPr>
      <w:r w:rsidRPr="00E524B7">
        <w:rPr>
          <w:rFonts w:ascii="Times New Roman" w:eastAsia="宋体" w:hAnsi="Times New Roman" w:cs="Times New Roman"/>
          <w:color w:val="000000"/>
          <w:kern w:val="0"/>
          <w:sz w:val="30"/>
          <w:szCs w:val="30"/>
        </w:rPr>
        <w:t> </w:t>
      </w:r>
    </w:p>
    <w:p w:rsidR="00E524B7" w:rsidRPr="00E524B7" w:rsidRDefault="00E524B7" w:rsidP="00E524B7">
      <w:pPr>
        <w:widowControl/>
        <w:spacing w:line="432" w:lineRule="atLeast"/>
        <w:jc w:val="left"/>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w:t>
      </w:r>
      <w:r w:rsidRPr="00E524B7">
        <w:rPr>
          <w:rFonts w:ascii="Times New Roman" w:eastAsia="宋体" w:hAnsi="Times New Roman" w:cs="Times New Roman"/>
          <w:color w:val="000000"/>
          <w:kern w:val="0"/>
          <w:sz w:val="30"/>
          <w:szCs w:val="30"/>
        </w:rPr>
        <w:t>                      </w:t>
      </w:r>
      <w:r w:rsidRPr="00E524B7">
        <w:rPr>
          <w:rFonts w:ascii="方正仿宋_GBK" w:eastAsia="方正仿宋_GBK" w:hAnsi="Arial" w:cs="Arial" w:hint="eastAsia"/>
          <w:color w:val="000000"/>
          <w:kern w:val="0"/>
          <w:sz w:val="30"/>
          <w:szCs w:val="30"/>
        </w:rPr>
        <w:t>财政部</w:t>
      </w:r>
      <w:r w:rsidRPr="00E524B7">
        <w:rPr>
          <w:rFonts w:ascii="Arial" w:eastAsia="宋体" w:hAnsi="Arial" w:cs="Arial"/>
          <w:color w:val="565862"/>
          <w:kern w:val="0"/>
          <w:sz w:val="24"/>
          <w:szCs w:val="24"/>
        </w:rPr>
        <w:t> </w:t>
      </w:r>
      <w:r w:rsidRPr="00E524B7">
        <w:rPr>
          <w:rFonts w:ascii="方正仿宋_GBK" w:eastAsia="方正仿宋_GBK" w:hAnsi="Arial" w:cs="Arial" w:hint="eastAsia"/>
          <w:color w:val="000000"/>
          <w:kern w:val="0"/>
          <w:sz w:val="30"/>
          <w:szCs w:val="30"/>
        </w:rPr>
        <w:t>发展改革委</w:t>
      </w:r>
      <w:r w:rsidRPr="00E524B7">
        <w:rPr>
          <w:rFonts w:ascii="Arial" w:eastAsia="宋体" w:hAnsi="Arial" w:cs="Arial"/>
          <w:color w:val="565862"/>
          <w:kern w:val="0"/>
          <w:sz w:val="24"/>
          <w:szCs w:val="24"/>
        </w:rPr>
        <w:t> </w:t>
      </w:r>
      <w:r w:rsidRPr="00E524B7">
        <w:rPr>
          <w:rFonts w:ascii="方正仿宋_GBK" w:eastAsia="方正仿宋_GBK" w:hAnsi="Arial" w:cs="Arial" w:hint="eastAsia"/>
          <w:color w:val="000000"/>
          <w:kern w:val="0"/>
          <w:sz w:val="30"/>
          <w:szCs w:val="30"/>
        </w:rPr>
        <w:t>生态环境部</w:t>
      </w:r>
      <w:r w:rsidRPr="00E524B7">
        <w:rPr>
          <w:rFonts w:ascii="Arial" w:eastAsia="宋体" w:hAnsi="Arial" w:cs="Arial"/>
          <w:color w:val="565862"/>
          <w:kern w:val="0"/>
          <w:sz w:val="24"/>
          <w:szCs w:val="24"/>
        </w:rPr>
        <w:t> </w:t>
      </w:r>
      <w:r w:rsidRPr="00E524B7">
        <w:rPr>
          <w:rFonts w:ascii="方正仿宋_GBK" w:eastAsia="方正仿宋_GBK" w:hAnsi="Arial" w:cs="Arial" w:hint="eastAsia"/>
          <w:color w:val="000000"/>
          <w:kern w:val="0"/>
          <w:sz w:val="30"/>
          <w:szCs w:val="30"/>
        </w:rPr>
        <w:t>市场监管总局</w:t>
      </w:r>
    </w:p>
    <w:p w:rsidR="00E524B7" w:rsidRPr="00E524B7" w:rsidRDefault="00E524B7" w:rsidP="00E524B7">
      <w:pPr>
        <w:widowControl/>
        <w:rPr>
          <w:rFonts w:ascii="Arial" w:eastAsia="宋体" w:hAnsi="Arial" w:cs="Arial"/>
          <w:color w:val="565862"/>
          <w:kern w:val="0"/>
          <w:sz w:val="24"/>
          <w:szCs w:val="24"/>
        </w:rPr>
      </w:pPr>
      <w:r w:rsidRPr="00E524B7">
        <w:rPr>
          <w:rFonts w:ascii="方正仿宋_GBK" w:eastAsia="方正仿宋_GBK" w:hAnsi="Arial" w:cs="Arial" w:hint="eastAsia"/>
          <w:color w:val="000000"/>
          <w:kern w:val="0"/>
          <w:sz w:val="30"/>
          <w:szCs w:val="30"/>
        </w:rPr>
        <w:t xml:space="preserve">　　</w:t>
      </w:r>
      <w:r w:rsidRPr="00E524B7">
        <w:rPr>
          <w:rFonts w:ascii="Times New Roman" w:eastAsia="宋体" w:hAnsi="Times New Roman" w:cs="Times New Roman"/>
          <w:color w:val="000000"/>
          <w:kern w:val="0"/>
          <w:sz w:val="30"/>
          <w:szCs w:val="30"/>
        </w:rPr>
        <w:t>                                              2019</w:t>
      </w:r>
      <w:r w:rsidRPr="00E524B7">
        <w:rPr>
          <w:rFonts w:ascii="方正仿宋_GBK" w:eastAsia="方正仿宋_GBK" w:hAnsi="Arial" w:cs="Arial" w:hint="eastAsia"/>
          <w:color w:val="000000"/>
          <w:kern w:val="0"/>
          <w:sz w:val="30"/>
          <w:szCs w:val="30"/>
        </w:rPr>
        <w:t>年</w:t>
      </w:r>
      <w:r w:rsidRPr="00E524B7">
        <w:rPr>
          <w:rFonts w:ascii="Times New Roman" w:eastAsia="宋体" w:hAnsi="Times New Roman" w:cs="Times New Roman"/>
          <w:color w:val="000000"/>
          <w:kern w:val="0"/>
          <w:sz w:val="30"/>
          <w:szCs w:val="30"/>
        </w:rPr>
        <w:t>2</w:t>
      </w:r>
      <w:r w:rsidRPr="00E524B7">
        <w:rPr>
          <w:rFonts w:ascii="方正仿宋_GBK" w:eastAsia="方正仿宋_GBK" w:hAnsi="Arial" w:cs="Arial" w:hint="eastAsia"/>
          <w:color w:val="000000"/>
          <w:kern w:val="0"/>
          <w:sz w:val="30"/>
          <w:szCs w:val="30"/>
        </w:rPr>
        <w:t>月</w:t>
      </w:r>
      <w:r w:rsidRPr="00E524B7">
        <w:rPr>
          <w:rFonts w:ascii="Times New Roman" w:eastAsia="宋体" w:hAnsi="Times New Roman" w:cs="Times New Roman"/>
          <w:color w:val="000000"/>
          <w:kern w:val="0"/>
          <w:sz w:val="30"/>
          <w:szCs w:val="30"/>
        </w:rPr>
        <w:t>1</w:t>
      </w:r>
      <w:r w:rsidRPr="00E524B7">
        <w:rPr>
          <w:rFonts w:ascii="方正仿宋_GBK" w:eastAsia="方正仿宋_GBK" w:hAnsi="Arial" w:cs="Arial" w:hint="eastAsia"/>
          <w:color w:val="000000"/>
          <w:kern w:val="0"/>
          <w:sz w:val="30"/>
          <w:szCs w:val="30"/>
        </w:rPr>
        <w:t>日</w:t>
      </w:r>
    </w:p>
    <w:p w:rsidR="00F81D1B" w:rsidRPr="00E524B7" w:rsidRDefault="00F81D1B" w:rsidP="00E524B7">
      <w:bookmarkStart w:id="0" w:name="_GoBack"/>
      <w:bookmarkEnd w:id="0"/>
    </w:p>
    <w:sectPr w:rsidR="00F81D1B" w:rsidRPr="00E52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AE0" w:rsidRDefault="00912AE0" w:rsidP="00E524B7">
      <w:r>
        <w:separator/>
      </w:r>
    </w:p>
  </w:endnote>
  <w:endnote w:type="continuationSeparator" w:id="0">
    <w:p w:rsidR="00912AE0" w:rsidRDefault="00912AE0" w:rsidP="00E5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AE0" w:rsidRDefault="00912AE0" w:rsidP="00E524B7">
      <w:r>
        <w:separator/>
      </w:r>
    </w:p>
  </w:footnote>
  <w:footnote w:type="continuationSeparator" w:id="0">
    <w:p w:rsidR="00912AE0" w:rsidRDefault="00912AE0" w:rsidP="00E5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94"/>
    <w:rsid w:val="0015036C"/>
    <w:rsid w:val="003040F3"/>
    <w:rsid w:val="00735E21"/>
    <w:rsid w:val="00912AE0"/>
    <w:rsid w:val="00AB5C94"/>
    <w:rsid w:val="00B7175B"/>
    <w:rsid w:val="00E524B7"/>
    <w:rsid w:val="00F81D1B"/>
    <w:rsid w:val="00FD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C5CB94-A4C0-4151-B287-F8B1B98C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524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24B7"/>
    <w:rPr>
      <w:sz w:val="18"/>
      <w:szCs w:val="18"/>
    </w:rPr>
  </w:style>
  <w:style w:type="paragraph" w:styleId="a5">
    <w:name w:val="footer"/>
    <w:basedOn w:val="a"/>
    <w:link w:val="a6"/>
    <w:uiPriority w:val="99"/>
    <w:unhideWhenUsed/>
    <w:rsid w:val="00E524B7"/>
    <w:pPr>
      <w:tabs>
        <w:tab w:val="center" w:pos="4153"/>
        <w:tab w:val="right" w:pos="8306"/>
      </w:tabs>
      <w:snapToGrid w:val="0"/>
      <w:jc w:val="left"/>
    </w:pPr>
    <w:rPr>
      <w:sz w:val="18"/>
      <w:szCs w:val="18"/>
    </w:rPr>
  </w:style>
  <w:style w:type="character" w:customStyle="1" w:styleId="a6">
    <w:name w:val="页脚 字符"/>
    <w:basedOn w:val="a0"/>
    <w:link w:val="a5"/>
    <w:uiPriority w:val="99"/>
    <w:rsid w:val="00E524B7"/>
    <w:rPr>
      <w:sz w:val="18"/>
      <w:szCs w:val="18"/>
    </w:rPr>
  </w:style>
  <w:style w:type="character" w:customStyle="1" w:styleId="20">
    <w:name w:val="标题 2 字符"/>
    <w:basedOn w:val="a0"/>
    <w:link w:val="2"/>
    <w:uiPriority w:val="9"/>
    <w:rsid w:val="00E524B7"/>
    <w:rPr>
      <w:rFonts w:ascii="宋体" w:eastAsia="宋体" w:hAnsi="宋体" w:cs="宋体"/>
      <w:b/>
      <w:bCs/>
      <w:kern w:val="0"/>
      <w:sz w:val="36"/>
      <w:szCs w:val="36"/>
    </w:rPr>
  </w:style>
  <w:style w:type="character" w:styleId="a7">
    <w:name w:val="Hyperlink"/>
    <w:basedOn w:val="a0"/>
    <w:uiPriority w:val="99"/>
    <w:semiHidden/>
    <w:unhideWhenUsed/>
    <w:rsid w:val="00E524B7"/>
    <w:rPr>
      <w:color w:val="0000FF"/>
      <w:u w:val="single"/>
    </w:rPr>
  </w:style>
  <w:style w:type="character" w:styleId="a8">
    <w:name w:val="Strong"/>
    <w:basedOn w:val="a0"/>
    <w:uiPriority w:val="22"/>
    <w:qFormat/>
    <w:rsid w:val="00E52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27918">
      <w:bodyDiv w:val="1"/>
      <w:marLeft w:val="0"/>
      <w:marRight w:val="0"/>
      <w:marTop w:val="0"/>
      <w:marBottom w:val="0"/>
      <w:divBdr>
        <w:top w:val="none" w:sz="0" w:space="0" w:color="auto"/>
        <w:left w:val="none" w:sz="0" w:space="0" w:color="auto"/>
        <w:bottom w:val="none" w:sz="0" w:space="0" w:color="auto"/>
        <w:right w:val="none" w:sz="0" w:space="0" w:color="auto"/>
      </w:divBdr>
    </w:div>
    <w:div w:id="1577741074">
      <w:bodyDiv w:val="1"/>
      <w:marLeft w:val="0"/>
      <w:marRight w:val="0"/>
      <w:marTop w:val="0"/>
      <w:marBottom w:val="0"/>
      <w:divBdr>
        <w:top w:val="none" w:sz="0" w:space="0" w:color="auto"/>
        <w:left w:val="none" w:sz="0" w:space="0" w:color="auto"/>
        <w:bottom w:val="none" w:sz="0" w:space="0" w:color="auto"/>
        <w:right w:val="none" w:sz="0" w:space="0" w:color="auto"/>
      </w:divBdr>
      <w:divsChild>
        <w:div w:id="936332714">
          <w:marLeft w:val="0"/>
          <w:marRight w:val="0"/>
          <w:marTop w:val="0"/>
          <w:marBottom w:val="0"/>
          <w:divBdr>
            <w:top w:val="none" w:sz="0" w:space="0" w:color="auto"/>
            <w:left w:val="none" w:sz="0" w:space="0" w:color="auto"/>
            <w:bottom w:val="single" w:sz="18" w:space="0" w:color="E6E6E6"/>
            <w:right w:val="none" w:sz="0" w:space="0" w:color="auto"/>
          </w:divBdr>
        </w:div>
        <w:div w:id="1526139637">
          <w:marLeft w:val="0"/>
          <w:marRight w:val="0"/>
          <w:marTop w:val="0"/>
          <w:marBottom w:val="0"/>
          <w:divBdr>
            <w:top w:val="none" w:sz="0" w:space="0" w:color="auto"/>
            <w:left w:val="none" w:sz="0" w:space="0" w:color="auto"/>
            <w:bottom w:val="none" w:sz="0" w:space="0" w:color="auto"/>
            <w:right w:val="none" w:sz="0" w:space="0" w:color="auto"/>
          </w:divBdr>
          <w:divsChild>
            <w:div w:id="2129230389">
              <w:marLeft w:val="225"/>
              <w:marRight w:val="0"/>
              <w:marTop w:val="0"/>
              <w:marBottom w:val="0"/>
              <w:divBdr>
                <w:top w:val="none" w:sz="0" w:space="0" w:color="auto"/>
                <w:left w:val="none" w:sz="0" w:space="0" w:color="auto"/>
                <w:bottom w:val="none" w:sz="0" w:space="0" w:color="auto"/>
                <w:right w:val="none" w:sz="0" w:space="0" w:color="auto"/>
              </w:divBdr>
            </w:div>
            <w:div w:id="1383794908">
              <w:marLeft w:val="225"/>
              <w:marRight w:val="0"/>
              <w:marTop w:val="0"/>
              <w:marBottom w:val="0"/>
              <w:divBdr>
                <w:top w:val="single" w:sz="6" w:space="11" w:color="DDDDDD"/>
                <w:left w:val="none" w:sz="0" w:space="0" w:color="auto"/>
                <w:bottom w:val="none" w:sz="0" w:space="0" w:color="auto"/>
                <w:right w:val="none" w:sz="0" w:space="0" w:color="auto"/>
              </w:divBdr>
              <w:divsChild>
                <w:div w:id="211120378">
                  <w:marLeft w:val="0"/>
                  <w:marRight w:val="0"/>
                  <w:marTop w:val="0"/>
                  <w:marBottom w:val="0"/>
                  <w:divBdr>
                    <w:top w:val="none" w:sz="0" w:space="0" w:color="auto"/>
                    <w:left w:val="none" w:sz="0" w:space="0" w:color="auto"/>
                    <w:bottom w:val="none" w:sz="0" w:space="0" w:color="auto"/>
                    <w:right w:val="none" w:sz="0" w:space="0" w:color="auto"/>
                  </w:divBdr>
                  <w:divsChild>
                    <w:div w:id="1721395860">
                      <w:marLeft w:val="0"/>
                      <w:marRight w:val="0"/>
                      <w:marTop w:val="0"/>
                      <w:marBottom w:val="0"/>
                      <w:divBdr>
                        <w:top w:val="none" w:sz="0" w:space="0" w:color="auto"/>
                        <w:left w:val="none" w:sz="0" w:space="0" w:color="auto"/>
                        <w:bottom w:val="none" w:sz="0" w:space="0" w:color="auto"/>
                        <w:right w:val="none" w:sz="0" w:space="0" w:color="auto"/>
                      </w:divBdr>
                    </w:div>
                    <w:div w:id="1286306129">
                      <w:marLeft w:val="0"/>
                      <w:marRight w:val="0"/>
                      <w:marTop w:val="0"/>
                      <w:marBottom w:val="0"/>
                      <w:divBdr>
                        <w:top w:val="none" w:sz="0" w:space="0" w:color="auto"/>
                        <w:left w:val="none" w:sz="0" w:space="0" w:color="auto"/>
                        <w:bottom w:val="none" w:sz="0" w:space="0" w:color="auto"/>
                        <w:right w:val="none" w:sz="0" w:space="0" w:color="auto"/>
                      </w:divBdr>
                    </w:div>
                    <w:div w:id="1236747177">
                      <w:marLeft w:val="0"/>
                      <w:marRight w:val="0"/>
                      <w:marTop w:val="0"/>
                      <w:marBottom w:val="0"/>
                      <w:divBdr>
                        <w:top w:val="none" w:sz="0" w:space="0" w:color="auto"/>
                        <w:left w:val="none" w:sz="0" w:space="0" w:color="auto"/>
                        <w:bottom w:val="none" w:sz="0" w:space="0" w:color="auto"/>
                        <w:right w:val="none" w:sz="0" w:space="0" w:color="auto"/>
                      </w:divBdr>
                    </w:div>
                    <w:div w:id="1432897641">
                      <w:marLeft w:val="0"/>
                      <w:marRight w:val="0"/>
                      <w:marTop w:val="0"/>
                      <w:marBottom w:val="0"/>
                      <w:divBdr>
                        <w:top w:val="none" w:sz="0" w:space="0" w:color="auto"/>
                        <w:left w:val="none" w:sz="0" w:space="0" w:color="auto"/>
                        <w:bottom w:val="none" w:sz="0" w:space="0" w:color="auto"/>
                        <w:right w:val="none" w:sz="0" w:space="0" w:color="auto"/>
                      </w:divBdr>
                    </w:div>
                    <w:div w:id="2047367438">
                      <w:marLeft w:val="0"/>
                      <w:marRight w:val="0"/>
                      <w:marTop w:val="0"/>
                      <w:marBottom w:val="0"/>
                      <w:divBdr>
                        <w:top w:val="none" w:sz="0" w:space="0" w:color="auto"/>
                        <w:left w:val="none" w:sz="0" w:space="0" w:color="auto"/>
                        <w:bottom w:val="none" w:sz="0" w:space="0" w:color="auto"/>
                        <w:right w:val="none" w:sz="0" w:space="0" w:color="auto"/>
                      </w:divBdr>
                    </w:div>
                    <w:div w:id="593975006">
                      <w:marLeft w:val="0"/>
                      <w:marRight w:val="0"/>
                      <w:marTop w:val="0"/>
                      <w:marBottom w:val="0"/>
                      <w:divBdr>
                        <w:top w:val="none" w:sz="0" w:space="0" w:color="auto"/>
                        <w:left w:val="none" w:sz="0" w:space="0" w:color="auto"/>
                        <w:bottom w:val="none" w:sz="0" w:space="0" w:color="auto"/>
                        <w:right w:val="none" w:sz="0" w:space="0" w:color="auto"/>
                      </w:divBdr>
                    </w:div>
                    <w:div w:id="857082805">
                      <w:marLeft w:val="0"/>
                      <w:marRight w:val="0"/>
                      <w:marTop w:val="0"/>
                      <w:marBottom w:val="0"/>
                      <w:divBdr>
                        <w:top w:val="none" w:sz="0" w:space="0" w:color="auto"/>
                        <w:left w:val="none" w:sz="0" w:space="0" w:color="auto"/>
                        <w:bottom w:val="none" w:sz="0" w:space="0" w:color="auto"/>
                        <w:right w:val="none" w:sz="0" w:space="0" w:color="auto"/>
                      </w:divBdr>
                    </w:div>
                    <w:div w:id="779224266">
                      <w:marLeft w:val="0"/>
                      <w:marRight w:val="0"/>
                      <w:marTop w:val="0"/>
                      <w:marBottom w:val="0"/>
                      <w:divBdr>
                        <w:top w:val="none" w:sz="0" w:space="0" w:color="auto"/>
                        <w:left w:val="none" w:sz="0" w:space="0" w:color="auto"/>
                        <w:bottom w:val="none" w:sz="0" w:space="0" w:color="auto"/>
                        <w:right w:val="none" w:sz="0" w:space="0" w:color="auto"/>
                      </w:divBdr>
                    </w:div>
                    <w:div w:id="1058018724">
                      <w:marLeft w:val="0"/>
                      <w:marRight w:val="0"/>
                      <w:marTop w:val="0"/>
                      <w:marBottom w:val="0"/>
                      <w:divBdr>
                        <w:top w:val="none" w:sz="0" w:space="0" w:color="auto"/>
                        <w:left w:val="none" w:sz="0" w:space="0" w:color="auto"/>
                        <w:bottom w:val="none" w:sz="0" w:space="0" w:color="auto"/>
                        <w:right w:val="none" w:sz="0" w:space="0" w:color="auto"/>
                      </w:divBdr>
                    </w:div>
                    <w:div w:id="1364020645">
                      <w:marLeft w:val="0"/>
                      <w:marRight w:val="0"/>
                      <w:marTop w:val="0"/>
                      <w:marBottom w:val="0"/>
                      <w:divBdr>
                        <w:top w:val="none" w:sz="0" w:space="0" w:color="auto"/>
                        <w:left w:val="none" w:sz="0" w:space="0" w:color="auto"/>
                        <w:bottom w:val="none" w:sz="0" w:space="0" w:color="auto"/>
                        <w:right w:val="none" w:sz="0" w:space="0" w:color="auto"/>
                      </w:divBdr>
                    </w:div>
                    <w:div w:id="1118261430">
                      <w:marLeft w:val="0"/>
                      <w:marRight w:val="0"/>
                      <w:marTop w:val="0"/>
                      <w:marBottom w:val="0"/>
                      <w:divBdr>
                        <w:top w:val="none" w:sz="0" w:space="0" w:color="auto"/>
                        <w:left w:val="none" w:sz="0" w:space="0" w:color="auto"/>
                        <w:bottom w:val="none" w:sz="0" w:space="0" w:color="auto"/>
                        <w:right w:val="none" w:sz="0" w:space="0" w:color="auto"/>
                      </w:divBdr>
                    </w:div>
                    <w:div w:id="1926304477">
                      <w:marLeft w:val="0"/>
                      <w:marRight w:val="0"/>
                      <w:marTop w:val="0"/>
                      <w:marBottom w:val="0"/>
                      <w:divBdr>
                        <w:top w:val="none" w:sz="0" w:space="0" w:color="auto"/>
                        <w:left w:val="none" w:sz="0" w:space="0" w:color="auto"/>
                        <w:bottom w:val="none" w:sz="0" w:space="0" w:color="auto"/>
                        <w:right w:val="none" w:sz="0" w:space="0" w:color="auto"/>
                      </w:divBdr>
                    </w:div>
                    <w:div w:id="839154830">
                      <w:marLeft w:val="0"/>
                      <w:marRight w:val="0"/>
                      <w:marTop w:val="0"/>
                      <w:marBottom w:val="0"/>
                      <w:divBdr>
                        <w:top w:val="none" w:sz="0" w:space="0" w:color="auto"/>
                        <w:left w:val="none" w:sz="0" w:space="0" w:color="auto"/>
                        <w:bottom w:val="none" w:sz="0" w:space="0" w:color="auto"/>
                        <w:right w:val="none" w:sz="0" w:space="0" w:color="auto"/>
                      </w:divBdr>
                    </w:div>
                    <w:div w:id="239020776">
                      <w:marLeft w:val="0"/>
                      <w:marRight w:val="0"/>
                      <w:marTop w:val="0"/>
                      <w:marBottom w:val="0"/>
                      <w:divBdr>
                        <w:top w:val="none" w:sz="0" w:space="0" w:color="auto"/>
                        <w:left w:val="none" w:sz="0" w:space="0" w:color="auto"/>
                        <w:bottom w:val="none" w:sz="0" w:space="0" w:color="auto"/>
                        <w:right w:val="none" w:sz="0" w:space="0" w:color="auto"/>
                      </w:divBdr>
                    </w:div>
                    <w:div w:id="3696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周鱻亚</dc:creator>
  <cp:keywords/>
  <dc:description/>
  <cp:lastModifiedBy>周鱻亚</cp:lastModifiedBy>
  <cp:revision>2</cp:revision>
  <dcterms:created xsi:type="dcterms:W3CDTF">2022-04-26T04:07:00Z</dcterms:created>
  <dcterms:modified xsi:type="dcterms:W3CDTF">2022-04-26T04:08:00Z</dcterms:modified>
</cp:coreProperties>
</file>