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w:t>
      </w:r>
      <w:r>
        <w:rPr>
          <w:rFonts w:hint="eastAsia" w:ascii="方正小标宋简体" w:hAnsi="方正小标宋简体" w:eastAsia="方正小标宋简体" w:cs="方正小标宋简体"/>
          <w:snapToGrid w:val="0"/>
          <w:spacing w:val="0"/>
          <w:w w:val="100"/>
          <w:kern w:val="0"/>
          <w:position w:val="0"/>
          <w:sz w:val="44"/>
          <w:lang w:val="en-US" w:eastAsia="zh-CN"/>
        </w:rPr>
        <w:t>19</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800" w:firstLineChars="200"/>
        <w:jc w:val="center"/>
        <w:rPr>
          <w:rFonts w:hint="eastAsia" w:ascii="仿宋_GB2312" w:hAnsi="仿宋_GB2312" w:eastAsia="仿宋_GB2312" w:cs="仿宋_GB2312"/>
          <w:snapToGrid w:val="0"/>
          <w:spacing w:val="0"/>
          <w:w w:val="100"/>
          <w:kern w:val="0"/>
          <w:position w:val="0"/>
          <w:sz w:val="40"/>
          <w:szCs w:val="52"/>
        </w:rPr>
      </w:pPr>
      <w:bookmarkStart w:id="2" w:name="_GoBack"/>
      <w:r>
        <w:rPr>
          <w:rFonts w:hint="eastAsia" w:ascii="仿宋_GB2312" w:hAnsi="仿宋_GB2312" w:eastAsia="仿宋_GB2312" w:cs="仿宋_GB2312"/>
          <w:snapToGrid w:val="0"/>
          <w:spacing w:val="0"/>
          <w:w w:val="100"/>
          <w:kern w:val="0"/>
          <w:position w:val="0"/>
          <w:sz w:val="40"/>
          <w:szCs w:val="52"/>
        </w:rPr>
        <w:t>报名文件清单</w:t>
      </w:r>
    </w:p>
    <w:bookmarkEnd w:id="2"/>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24"/>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征集公告编号：（2024-ZJKZX-019）</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966"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512"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058"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966"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360"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209"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资源（例如：系统对接能力、客户服务团队、</w:t>
      </w:r>
      <w:r>
        <w:rPr>
          <w:rFonts w:hint="eastAsia" w:ascii="仿宋_GB2312" w:hAnsi="仿宋_GB2312" w:eastAsia="仿宋_GB2312" w:cs="仿宋_GB2312"/>
          <w:snapToGrid w:val="0"/>
          <w:kern w:val="0"/>
          <w:sz w:val="32"/>
          <w:szCs w:val="32"/>
        </w:rPr>
        <w:t>项目服务团队</w:t>
      </w:r>
      <w:r>
        <w:rPr>
          <w:rFonts w:hint="eastAsia" w:ascii="仿宋_GB2312" w:hAnsi="仿宋_GB2312" w:eastAsia="仿宋_GB2312" w:cs="仿宋_GB2312"/>
          <w:snapToGrid w:val="0"/>
          <w:spacing w:val="0"/>
          <w:w w:val="100"/>
          <w:kern w:val="0"/>
          <w:position w:val="0"/>
          <w:sz w:val="32"/>
          <w:szCs w:val="32"/>
          <w:lang w:val="en-US" w:eastAsia="zh-CN"/>
        </w:rPr>
        <w:t>）</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4"/>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354605"/>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BA51B9F"/>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01404C"/>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7915428"/>
    <w:rsid w:val="58032874"/>
    <w:rsid w:val="582165A1"/>
    <w:rsid w:val="593815EC"/>
    <w:rsid w:val="599F2295"/>
    <w:rsid w:val="5A226FEB"/>
    <w:rsid w:val="5A8A3D63"/>
    <w:rsid w:val="5BA343ED"/>
    <w:rsid w:val="5C57280E"/>
    <w:rsid w:val="5C7C40C8"/>
    <w:rsid w:val="5D700D5D"/>
    <w:rsid w:val="5D803352"/>
    <w:rsid w:val="5DD451FE"/>
    <w:rsid w:val="5DE113E5"/>
    <w:rsid w:val="5E6A0F75"/>
    <w:rsid w:val="5E9B449A"/>
    <w:rsid w:val="5ED31D93"/>
    <w:rsid w:val="5FAC7002"/>
    <w:rsid w:val="60A00B94"/>
    <w:rsid w:val="60A972A5"/>
    <w:rsid w:val="626F7B0B"/>
    <w:rsid w:val="627F5BA7"/>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405A0E"/>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57</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xueliying_kzx</cp:lastModifiedBy>
  <cp:lastPrinted>2024-02-19T01:52:00Z</cp:lastPrinted>
  <dcterms:modified xsi:type="dcterms:W3CDTF">2024-08-05T03:46:42Z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F861159572CB431299E4C8538E7A82CA</vt:lpwstr>
  </property>
</Properties>
</file>