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bookmarkStart w:id="2" w:name="_GoBack"/>
      <w:bookmarkEnd w:id="2"/>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b w:val="0"/>
          <w:bCs w:val="0"/>
          <w:i w:val="0"/>
          <w:iCs w:val="0"/>
          <w:caps w:val="0"/>
          <w:snapToGrid w:val="0"/>
          <w:spacing w:val="0"/>
          <w:kern w:val="0"/>
          <w:sz w:val="44"/>
          <w:szCs w:val="22"/>
          <w:shd w:val="clear"/>
        </w:rPr>
        <w:t>2024-ZJKZX-037</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sz w:val="32"/>
          <w:szCs w:val="32"/>
        </w:rPr>
        <w:t>2024-ZJKZX-037</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571361"/>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6D930BBC"/>
    <w:rsid w:val="6F2A762E"/>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6</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2024-11-12T08:38:08Z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