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F1E24">
      <w:pPr>
        <w:pStyle w:val="2"/>
        <w:jc w:val="center"/>
        <w:rPr>
          <w:rFonts w:hint="eastAsia"/>
        </w:rPr>
      </w:pPr>
      <w:r>
        <w:rPr>
          <w:rFonts w:hint="eastAsia"/>
        </w:rPr>
        <w:t>用户需求书</w:t>
      </w:r>
    </w:p>
    <w:p w14:paraId="77D5C02D">
      <w:pPr>
        <w:autoSpaceDN w:val="0"/>
        <w:spacing w:line="360" w:lineRule="auto"/>
        <w:textAlignment w:val="center"/>
        <w:rPr>
          <w:rFonts w:ascii="宋体" w:hAnsi="宋体" w:cs="宋体"/>
          <w:b/>
          <w:sz w:val="24"/>
          <w:szCs w:val="24"/>
        </w:rPr>
      </w:pPr>
      <w:bookmarkStart w:id="0" w:name="_Toc381175077"/>
      <w:bookmarkStart w:id="1" w:name="_Toc35355746"/>
      <w:bookmarkStart w:id="2" w:name="_Toc378151512"/>
      <w:bookmarkStart w:id="3" w:name="_Toc378151517"/>
      <w:r>
        <w:rPr>
          <w:rFonts w:hint="eastAsia" w:ascii="宋体" w:hAnsi="宋体" w:cs="宋体"/>
          <w:b/>
          <w:sz w:val="24"/>
          <w:szCs w:val="24"/>
        </w:rPr>
        <w:t>一、</w:t>
      </w:r>
      <w:bookmarkEnd w:id="0"/>
      <w:bookmarkEnd w:id="1"/>
      <w:bookmarkEnd w:id="2"/>
      <w:r>
        <w:rPr>
          <w:rFonts w:hint="eastAsia" w:ascii="宋体" w:hAnsi="宋体" w:cs="宋体"/>
          <w:b/>
          <w:sz w:val="24"/>
          <w:szCs w:val="24"/>
        </w:rPr>
        <w:t>项目背景及情况</w:t>
      </w:r>
    </w:p>
    <w:p w14:paraId="2B256FDD">
      <w:pPr>
        <w:spacing w:line="360" w:lineRule="auto"/>
        <w:ind w:firstLine="420" w:firstLineChars="200"/>
        <w:rPr>
          <w:rFonts w:hint="eastAsia" w:ascii="宋体" w:hAnsi="宋体"/>
        </w:rPr>
      </w:pPr>
      <w:bookmarkStart w:id="4" w:name="_Toc381175078"/>
      <w:r>
        <w:rPr>
          <w:rFonts w:hint="eastAsia" w:ascii="宋体" w:hAnsi="宋体"/>
        </w:rPr>
        <w:t>RPA（Robotic Process Automation，机器人流程自动化）是一种利用软件机器人或“机器人工人”来自动执行重复性、规律性任务的技术。RPA通过模拟人类在计算机上的操作步骤，完成诸如数据输入、文件处理、信息提取等日常重复性工作。RPA能够7*24小时不间断地执行任务，且操作精准，减少人为错误的可能性。</w:t>
      </w:r>
    </w:p>
    <w:p w14:paraId="7B7EDC58">
      <w:pPr>
        <w:spacing w:line="360" w:lineRule="auto"/>
        <w:ind w:firstLine="420" w:firstLineChars="200"/>
        <w:rPr>
          <w:rFonts w:ascii="宋体" w:hAnsi="宋体"/>
        </w:rPr>
      </w:pPr>
      <w:r>
        <w:rPr>
          <w:rFonts w:hint="eastAsia" w:ascii="宋体" w:hAnsi="宋体"/>
        </w:rPr>
        <w:t>RPA平台相比传统的软件开发、任务调度平台或流程平台，具备以下的优点：一是节约人力成本，优化人力资源配置；二是夯实公司外部数据基础，支持营销开发、风险控制、运营管理、决策分析等；三是提升公司IT系统建设能力，增强系统的可维护性和扩展性。</w:t>
      </w:r>
    </w:p>
    <w:p w14:paraId="15DFDA5A">
      <w:pPr>
        <w:spacing w:line="360" w:lineRule="auto"/>
        <w:ind w:firstLine="420" w:firstLineChars="200"/>
        <w:rPr>
          <w:rFonts w:hint="eastAsia" w:ascii="宋体" w:hAnsi="宋体"/>
        </w:rPr>
      </w:pPr>
      <w:r>
        <w:rPr>
          <w:rFonts w:hint="eastAsia" w:ascii="宋体" w:hAnsi="宋体"/>
        </w:rPr>
        <w:t>2021年国银金融租赁股份有限公司财会部引入了RPA系统试点，目前正常运行的流程场景2个。2024年国银金融租赁股份有限公司启动了RPA需求收集工作，共收集需求48个，流程场景93个，以科技租赁业务部、普惠金融事业部、财会部为主。现国银金融租赁股份有限公司开展本项目。</w:t>
      </w:r>
    </w:p>
    <w:p w14:paraId="5D0C2EA3">
      <w:pPr>
        <w:spacing w:line="360" w:lineRule="auto"/>
        <w:ind w:firstLine="420" w:firstLineChars="200"/>
        <w:rPr>
          <w:rFonts w:hint="eastAsia" w:ascii="宋体" w:hAnsi="宋体"/>
          <w:szCs w:val="21"/>
        </w:rPr>
      </w:pPr>
    </w:p>
    <w:p w14:paraId="59F6FEE5">
      <w:pPr>
        <w:autoSpaceDN w:val="0"/>
        <w:spacing w:line="360" w:lineRule="auto"/>
        <w:textAlignment w:val="center"/>
        <w:rPr>
          <w:rFonts w:hint="eastAsia" w:ascii="宋体" w:hAnsi="宋体" w:cs="宋体"/>
          <w:b/>
          <w:sz w:val="24"/>
          <w:szCs w:val="24"/>
        </w:rPr>
      </w:pPr>
      <w:bookmarkStart w:id="5" w:name="_Toc35355747"/>
      <w:r>
        <w:rPr>
          <w:rFonts w:hint="eastAsia" w:ascii="宋体" w:hAnsi="宋体" w:cs="宋体"/>
          <w:b/>
          <w:sz w:val="24"/>
          <w:szCs w:val="24"/>
        </w:rPr>
        <w:t>二、项目技术要求</w:t>
      </w:r>
    </w:p>
    <w:bookmarkEnd w:id="5"/>
    <w:p w14:paraId="66ACFADD">
      <w:pPr>
        <w:spacing w:line="360" w:lineRule="auto"/>
        <w:ind w:firstLine="422" w:firstLineChars="200"/>
        <w:rPr>
          <w:rFonts w:ascii="宋体" w:hAnsi="宋体"/>
          <w:b/>
          <w:szCs w:val="21"/>
        </w:rPr>
      </w:pPr>
      <w:r>
        <w:rPr>
          <w:rFonts w:ascii="宋体" w:hAnsi="宋体"/>
          <w:b/>
          <w:szCs w:val="21"/>
        </w:rPr>
        <w:t>(一)</w:t>
      </w:r>
      <w:r>
        <w:rPr>
          <w:rFonts w:hint="eastAsia" w:ascii="宋体" w:hAnsi="宋体"/>
          <w:b/>
          <w:szCs w:val="21"/>
        </w:rPr>
        <w:t>工作目标</w:t>
      </w:r>
    </w:p>
    <w:p w14:paraId="45F23E35">
      <w:pPr>
        <w:spacing w:line="360" w:lineRule="auto"/>
        <w:ind w:firstLine="420" w:firstLineChars="200"/>
        <w:rPr>
          <w:rFonts w:ascii="宋体" w:hAnsi="宋体"/>
          <w:szCs w:val="21"/>
        </w:rPr>
      </w:pPr>
      <w:r>
        <w:rPr>
          <w:rFonts w:hint="eastAsia" w:ascii="宋体" w:hAnsi="宋体"/>
          <w:szCs w:val="21"/>
        </w:rPr>
        <w:t>1、建立公司级RPA平台体系。支持公司前、中、后台各部流程自动化处理。RPA体系作为公司应用系统之外的有效补充，能够在保证应用系统稳定性的基础上，实现安全、高效的自动化、数字化操作体系。</w:t>
      </w:r>
    </w:p>
    <w:p w14:paraId="1290761E">
      <w:pPr>
        <w:spacing w:line="360" w:lineRule="auto"/>
        <w:ind w:firstLine="420" w:firstLineChars="200"/>
        <w:rPr>
          <w:rFonts w:ascii="宋体" w:hAnsi="宋体"/>
          <w:szCs w:val="21"/>
        </w:rPr>
      </w:pPr>
      <w:r>
        <w:rPr>
          <w:rFonts w:hint="eastAsia" w:ascii="宋体" w:hAnsi="宋体"/>
          <w:szCs w:val="21"/>
        </w:rPr>
        <w:t>2、通过项目厂商共建RPA支持团队。RPA技术具有敏捷的特性，作为公司应用系统的有效补充，配备专业的支持团队既可以降低业务人员的工作负担，也可用来降低开发人员的开发难度，做到对业务需求的敏捷响应与迭代。</w:t>
      </w:r>
    </w:p>
    <w:p w14:paraId="3297D846">
      <w:pPr>
        <w:spacing w:line="360" w:lineRule="auto"/>
        <w:ind w:firstLine="422" w:firstLineChars="200"/>
        <w:rPr>
          <w:rFonts w:ascii="宋体" w:hAnsi="宋体"/>
          <w:b/>
          <w:szCs w:val="21"/>
        </w:rPr>
      </w:pPr>
      <w:r>
        <w:rPr>
          <w:rFonts w:ascii="宋体" w:hAnsi="宋体"/>
          <w:b/>
          <w:szCs w:val="21"/>
        </w:rPr>
        <w:t>(二)</w:t>
      </w:r>
      <w:r>
        <w:rPr>
          <w:rFonts w:hint="eastAsia" w:ascii="宋体" w:hAnsi="宋体"/>
          <w:b/>
          <w:szCs w:val="21"/>
        </w:rPr>
        <w:t>工作内容及要求</w:t>
      </w:r>
    </w:p>
    <w:bookmarkEnd w:id="3"/>
    <w:bookmarkEnd w:id="4"/>
    <w:p w14:paraId="634D72E4">
      <w:pPr>
        <w:spacing w:line="360" w:lineRule="auto"/>
        <w:ind w:firstLine="412" w:firstLineChars="200"/>
        <w:rPr>
          <w:rFonts w:hint="eastAsia" w:ascii="宋体" w:hAnsi="宋体"/>
          <w:spacing w:val="-2"/>
        </w:rPr>
      </w:pPr>
      <w:r>
        <w:rPr>
          <w:rFonts w:hint="eastAsia" w:ascii="宋体" w:hAnsi="宋体"/>
          <w:spacing w:val="-2"/>
        </w:rPr>
        <w:t>本项目主要内容为建立RPA的管理与应用架构体系。具体要求如下：</w:t>
      </w:r>
    </w:p>
    <w:p w14:paraId="2053AC42">
      <w:pPr>
        <w:spacing w:line="360" w:lineRule="auto"/>
        <w:ind w:firstLine="412" w:firstLineChars="200"/>
        <w:rPr>
          <w:rFonts w:hint="eastAsia" w:ascii="宋体" w:hAnsi="宋体"/>
          <w:spacing w:val="-2"/>
        </w:rPr>
      </w:pPr>
      <w:r>
        <w:rPr>
          <w:rFonts w:hint="eastAsia" w:ascii="宋体" w:hAnsi="宋体"/>
          <w:spacing w:val="-2"/>
        </w:rPr>
        <w:t>1、产品要求：产品应包含但不限于设计器、机器人、控制台三个核心组件，产品费用为一次性支付，提供不限机器人数量的永久使用权，无需额外支付后续的使用授权费用：机器人能够对接图像识别技术（OCR）、自然语言处理技术（NLP）等，支持对接主流的大模型、算法平台的能力。</w:t>
      </w:r>
    </w:p>
    <w:p w14:paraId="16A29C21">
      <w:pPr>
        <w:spacing w:line="360" w:lineRule="auto"/>
        <w:ind w:firstLine="412" w:firstLineChars="200"/>
        <w:rPr>
          <w:rFonts w:hint="eastAsia" w:ascii="宋体" w:hAnsi="宋体"/>
          <w:spacing w:val="-2"/>
        </w:rPr>
      </w:pPr>
      <w:r>
        <w:rPr>
          <w:rFonts w:hint="eastAsia" w:ascii="宋体" w:hAnsi="宋体"/>
          <w:spacing w:val="-2"/>
        </w:rPr>
        <w:t>2、实施要求：RPA系统能够结合OCR工具、大模型工具等，进行灵活的组合，以支持公司在营销开发、运营管理、风险控制、决策分析四个方面的应用。</w:t>
      </w:r>
    </w:p>
    <w:p w14:paraId="540894C8">
      <w:pPr>
        <w:spacing w:line="360" w:lineRule="auto"/>
        <w:ind w:firstLine="412" w:firstLineChars="200"/>
        <w:rPr>
          <w:rFonts w:ascii="宋体" w:hAnsi="宋体"/>
          <w:spacing w:val="-2"/>
        </w:rPr>
      </w:pPr>
      <w:r>
        <w:rPr>
          <w:rFonts w:hint="eastAsia" w:ascii="宋体" w:hAnsi="宋体"/>
          <w:spacing w:val="-2"/>
        </w:rPr>
        <w:t>具体需求详见附件3《机器人流程自动化（RPA）项目业务需求说明书V1.0》。</w:t>
      </w:r>
    </w:p>
    <w:p w14:paraId="2EAC017F">
      <w:pPr>
        <w:spacing w:line="360" w:lineRule="auto"/>
        <w:ind w:firstLine="412" w:firstLineChars="200"/>
        <w:rPr>
          <w:rFonts w:hint="eastAsia" w:ascii="宋体" w:hAnsi="宋体"/>
          <w:b/>
          <w:szCs w:val="21"/>
        </w:rPr>
      </w:pPr>
      <w:r>
        <w:rPr>
          <w:rFonts w:hint="eastAsia" w:ascii="宋体" w:hAnsi="宋体"/>
          <w:spacing w:val="-2"/>
          <w:szCs w:val="21"/>
        </w:rPr>
        <w:t>（三）现场演示</w:t>
      </w:r>
      <w:r>
        <w:rPr>
          <w:rFonts w:hint="eastAsia" w:ascii="宋体" w:hAnsi="宋体" w:cs="宋体"/>
          <w:color w:val="000000"/>
          <w:kern w:val="0"/>
          <w:szCs w:val="21"/>
        </w:rPr>
        <w:t>需求</w:t>
      </w:r>
    </w:p>
    <w:p w14:paraId="7A8FBA40">
      <w:pPr>
        <w:widowControl/>
        <w:ind w:firstLine="640"/>
        <w:rPr>
          <w:rFonts w:hint="eastAsia" w:ascii="宋体" w:hAnsi="宋体"/>
          <w:color w:val="000000"/>
          <w:kern w:val="0"/>
          <w:szCs w:val="21"/>
        </w:rPr>
      </w:pPr>
      <w:r>
        <w:rPr>
          <w:rFonts w:hint="eastAsia" w:ascii="宋体" w:hAnsi="宋体" w:cs="宋体"/>
          <w:color w:val="000000"/>
          <w:kern w:val="0"/>
          <w:szCs w:val="21"/>
        </w:rPr>
        <w:t>请利用</w:t>
      </w:r>
      <w:r>
        <w:rPr>
          <w:rFonts w:ascii="宋体" w:hAnsi="宋体"/>
          <w:color w:val="000000"/>
          <w:kern w:val="0"/>
          <w:szCs w:val="21"/>
        </w:rPr>
        <w:t>RPA</w:t>
      </w:r>
      <w:r>
        <w:rPr>
          <w:rFonts w:hint="eastAsia" w:ascii="宋体" w:hAnsi="宋体" w:cs="宋体"/>
          <w:color w:val="000000"/>
          <w:kern w:val="0"/>
          <w:szCs w:val="21"/>
        </w:rPr>
        <w:t>工具获取中国外汇交易中心（</w:t>
      </w:r>
      <w:r>
        <w:rPr>
          <w:rFonts w:ascii="宋体" w:hAnsi="宋体"/>
          <w:color w:val="000000"/>
          <w:kern w:val="0"/>
          <w:szCs w:val="21"/>
        </w:rPr>
        <w:t>chinamoney.com.cn/chinese/index.html</w:t>
      </w:r>
      <w:r>
        <w:rPr>
          <w:rFonts w:hint="eastAsia" w:ascii="宋体" w:hAnsi="宋体" w:cs="宋体"/>
          <w:color w:val="000000"/>
          <w:kern w:val="0"/>
          <w:szCs w:val="21"/>
        </w:rPr>
        <w:t>）中“首页”板块下“银行间市场概览”模块下“贷款市场报价利率（</w:t>
      </w:r>
      <w:r>
        <w:rPr>
          <w:rFonts w:ascii="宋体" w:hAnsi="宋体"/>
          <w:color w:val="000000"/>
          <w:kern w:val="0"/>
          <w:szCs w:val="21"/>
        </w:rPr>
        <w:t>LPR</w:t>
      </w:r>
      <w:r>
        <w:rPr>
          <w:rFonts w:hint="eastAsia" w:ascii="宋体" w:hAnsi="宋体" w:cs="宋体"/>
          <w:color w:val="000000"/>
          <w:kern w:val="0"/>
          <w:szCs w:val="21"/>
        </w:rPr>
        <w:t>）”中一年期（</w:t>
      </w:r>
      <w:r>
        <w:rPr>
          <w:rFonts w:ascii="宋体" w:hAnsi="宋体"/>
          <w:color w:val="000000"/>
          <w:kern w:val="0"/>
          <w:szCs w:val="21"/>
        </w:rPr>
        <w:t>1Y</w:t>
      </w:r>
      <w:r>
        <w:rPr>
          <w:rFonts w:hint="eastAsia" w:ascii="宋体" w:hAnsi="宋体" w:cs="宋体"/>
          <w:color w:val="000000"/>
          <w:kern w:val="0"/>
          <w:szCs w:val="21"/>
        </w:rPr>
        <w:t>）、五年期（</w:t>
      </w:r>
      <w:r>
        <w:rPr>
          <w:rFonts w:ascii="宋体" w:hAnsi="宋体"/>
          <w:color w:val="000000"/>
          <w:kern w:val="0"/>
          <w:szCs w:val="21"/>
        </w:rPr>
        <w:t>5Y</w:t>
      </w:r>
      <w:r>
        <w:rPr>
          <w:rFonts w:hint="eastAsia" w:ascii="宋体" w:hAnsi="宋体" w:cs="宋体"/>
          <w:color w:val="000000"/>
          <w:kern w:val="0"/>
          <w:szCs w:val="21"/>
        </w:rPr>
        <w:t>）的数据，具体如附件所示，并在桌面新建一个</w:t>
      </w:r>
      <w:r>
        <w:rPr>
          <w:rFonts w:ascii="宋体" w:hAnsi="宋体"/>
          <w:color w:val="000000"/>
          <w:kern w:val="0"/>
          <w:szCs w:val="21"/>
        </w:rPr>
        <w:t>EXCEL</w:t>
      </w:r>
      <w:r>
        <w:rPr>
          <w:rFonts w:hint="eastAsia" w:ascii="宋体" w:hAnsi="宋体" w:cs="宋体"/>
          <w:color w:val="000000"/>
          <w:kern w:val="0"/>
          <w:szCs w:val="21"/>
        </w:rPr>
        <w:t>，存入上述内容，具体表样如下：</w:t>
      </w:r>
    </w:p>
    <w:tbl>
      <w:tblPr>
        <w:tblStyle w:val="3"/>
        <w:tblW w:w="5860" w:type="dxa"/>
        <w:tblInd w:w="-3" w:type="dxa"/>
        <w:tblLayout w:type="autofit"/>
        <w:tblCellMar>
          <w:top w:w="0" w:type="dxa"/>
          <w:left w:w="0" w:type="dxa"/>
          <w:bottom w:w="0" w:type="dxa"/>
          <w:right w:w="0" w:type="dxa"/>
        </w:tblCellMar>
      </w:tblPr>
      <w:tblGrid>
        <w:gridCol w:w="1640"/>
        <w:gridCol w:w="1080"/>
        <w:gridCol w:w="1080"/>
        <w:gridCol w:w="2060"/>
      </w:tblGrid>
      <w:tr w14:paraId="3DD232F2">
        <w:tblPrEx>
          <w:tblCellMar>
            <w:top w:w="0" w:type="dxa"/>
            <w:left w:w="0" w:type="dxa"/>
            <w:bottom w:w="0" w:type="dxa"/>
            <w:right w:w="0" w:type="dxa"/>
          </w:tblCellMar>
        </w:tblPrEx>
        <w:trPr>
          <w:trHeight w:val="285" w:hRule="atLeast"/>
        </w:trPr>
        <w:tc>
          <w:tcPr>
            <w:tcW w:w="164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tcPr>
          <w:p w14:paraId="7A51D74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数据时间</w:t>
            </w:r>
          </w:p>
        </w:tc>
        <w:tc>
          <w:tcPr>
            <w:tcW w:w="10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14:paraId="0CA791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1Y</w:t>
            </w:r>
          </w:p>
        </w:tc>
        <w:tc>
          <w:tcPr>
            <w:tcW w:w="10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14:paraId="2A94371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5Y</w:t>
            </w:r>
          </w:p>
        </w:tc>
        <w:tc>
          <w:tcPr>
            <w:tcW w:w="20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14:paraId="18EF0EC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数据获取时间</w:t>
            </w:r>
          </w:p>
        </w:tc>
      </w:tr>
      <w:tr w14:paraId="0FB25C85">
        <w:tblPrEx>
          <w:tblCellMar>
            <w:top w:w="0" w:type="dxa"/>
            <w:left w:w="0" w:type="dxa"/>
            <w:bottom w:w="0" w:type="dxa"/>
            <w:right w:w="0" w:type="dxa"/>
          </w:tblCellMar>
        </w:tblPrEx>
        <w:trPr>
          <w:trHeight w:val="285" w:hRule="atLeast"/>
        </w:trPr>
        <w:tc>
          <w:tcPr>
            <w:tcW w:w="16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78B834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2024/10/21</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67A3931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3.10</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4E310F4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3.60</w:t>
            </w:r>
          </w:p>
        </w:tc>
        <w:tc>
          <w:tcPr>
            <w:tcW w:w="2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1B88E2C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2024/11/15</w:t>
            </w:r>
          </w:p>
        </w:tc>
      </w:tr>
      <w:tr w14:paraId="193ADEDC">
        <w:tblPrEx>
          <w:tblCellMar>
            <w:top w:w="0" w:type="dxa"/>
            <w:left w:w="0" w:type="dxa"/>
            <w:bottom w:w="0" w:type="dxa"/>
            <w:right w:w="0" w:type="dxa"/>
          </w:tblCellMar>
        </w:tblPrEx>
        <w:trPr>
          <w:trHeight w:val="285" w:hRule="atLeast"/>
        </w:trPr>
        <w:tc>
          <w:tcPr>
            <w:tcW w:w="16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1241415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5AA6F95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3B5644F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35037BA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149CABB">
        <w:tblPrEx>
          <w:tblCellMar>
            <w:top w:w="0" w:type="dxa"/>
            <w:left w:w="0" w:type="dxa"/>
            <w:bottom w:w="0" w:type="dxa"/>
            <w:right w:w="0" w:type="dxa"/>
          </w:tblCellMar>
        </w:tblPrEx>
        <w:trPr>
          <w:trHeight w:val="285" w:hRule="atLeast"/>
        </w:trPr>
        <w:tc>
          <w:tcPr>
            <w:tcW w:w="16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579968C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5716DD6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4FCCBFB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72C15CF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8704AFA">
        <w:tblPrEx>
          <w:tblCellMar>
            <w:top w:w="0" w:type="dxa"/>
            <w:left w:w="0" w:type="dxa"/>
            <w:bottom w:w="0" w:type="dxa"/>
            <w:right w:w="0" w:type="dxa"/>
          </w:tblCellMar>
        </w:tblPrEx>
        <w:trPr>
          <w:trHeight w:val="285" w:hRule="atLeast"/>
        </w:trPr>
        <w:tc>
          <w:tcPr>
            <w:tcW w:w="16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3970128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65D22AA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74F6C9A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744AB9C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8516BFC">
        <w:tblPrEx>
          <w:tblCellMar>
            <w:top w:w="0" w:type="dxa"/>
            <w:left w:w="0" w:type="dxa"/>
            <w:bottom w:w="0" w:type="dxa"/>
            <w:right w:w="0" w:type="dxa"/>
          </w:tblCellMar>
        </w:tblPrEx>
        <w:trPr>
          <w:trHeight w:val="285" w:hRule="atLeast"/>
        </w:trPr>
        <w:tc>
          <w:tcPr>
            <w:tcW w:w="16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4CD0834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7BE4E53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3C72480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16D3ECA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74A9062">
        <w:tblPrEx>
          <w:tblCellMar>
            <w:top w:w="0" w:type="dxa"/>
            <w:left w:w="0" w:type="dxa"/>
            <w:bottom w:w="0" w:type="dxa"/>
            <w:right w:w="0" w:type="dxa"/>
          </w:tblCellMar>
        </w:tblPrEx>
        <w:trPr>
          <w:trHeight w:val="285" w:hRule="atLeast"/>
        </w:trPr>
        <w:tc>
          <w:tcPr>
            <w:tcW w:w="16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731D95D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75D6A75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5B82AFF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0EA2E4E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F10DAD4">
        <w:tblPrEx>
          <w:tblCellMar>
            <w:top w:w="0" w:type="dxa"/>
            <w:left w:w="0" w:type="dxa"/>
            <w:bottom w:w="0" w:type="dxa"/>
            <w:right w:w="0" w:type="dxa"/>
          </w:tblCellMar>
        </w:tblPrEx>
        <w:trPr>
          <w:trHeight w:val="285" w:hRule="atLeast"/>
        </w:trPr>
        <w:tc>
          <w:tcPr>
            <w:tcW w:w="16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0DD21E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76564CD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1A642CD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8" w:space="0"/>
              <w:right w:val="single" w:color="auto" w:sz="8" w:space="0"/>
            </w:tcBorders>
            <w:noWrap/>
            <w:tcMar>
              <w:top w:w="0" w:type="dxa"/>
              <w:left w:w="108" w:type="dxa"/>
              <w:bottom w:w="0" w:type="dxa"/>
              <w:right w:w="108" w:type="dxa"/>
            </w:tcMar>
            <w:vAlign w:val="bottom"/>
          </w:tcPr>
          <w:p w14:paraId="4770CC8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bl>
    <w:p w14:paraId="5A448750">
      <w:pPr>
        <w:widowControl/>
        <w:rPr>
          <w:rFonts w:hint="eastAsia" w:eastAsia="等线"/>
          <w:color w:val="000000"/>
          <w:kern w:val="0"/>
          <w:sz w:val="32"/>
          <w:szCs w:val="32"/>
        </w:rPr>
      </w:pPr>
    </w:p>
    <w:p w14:paraId="75AFF516">
      <w:pPr>
        <w:spacing w:line="360" w:lineRule="auto"/>
        <w:textAlignment w:val="center"/>
        <w:rPr>
          <w:rFonts w:hint="eastAsia" w:ascii="宋体" w:hAnsi="宋体"/>
          <w:b/>
          <w:sz w:val="24"/>
          <w:szCs w:val="24"/>
        </w:rPr>
      </w:pPr>
    </w:p>
    <w:p w14:paraId="06D29B7F">
      <w:pPr>
        <w:numPr>
          <w:ilvl w:val="0"/>
          <w:numId w:val="1"/>
        </w:numPr>
        <w:spacing w:line="360" w:lineRule="auto"/>
        <w:textAlignment w:val="center"/>
        <w:rPr>
          <w:rFonts w:hint="eastAsia" w:ascii="宋体" w:hAnsi="宋体" w:cs="宋体"/>
          <w:sz w:val="24"/>
          <w:szCs w:val="24"/>
        </w:rPr>
      </w:pPr>
      <w:r>
        <w:rPr>
          <w:rFonts w:hint="eastAsia" w:ascii="宋体" w:hAnsi="宋体"/>
          <w:b/>
          <w:sz w:val="24"/>
          <w:szCs w:val="24"/>
        </w:rPr>
        <w:t>服务期</w:t>
      </w:r>
    </w:p>
    <w:p w14:paraId="67429080">
      <w:pPr>
        <w:spacing w:line="360" w:lineRule="auto"/>
        <w:ind w:firstLine="495"/>
        <w:textAlignment w:val="center"/>
        <w:rPr>
          <w:rFonts w:ascii="宋体" w:hAnsi="宋体"/>
          <w:color w:val="FF0000"/>
          <w:szCs w:val="21"/>
        </w:rPr>
      </w:pPr>
      <w:r>
        <w:rPr>
          <w:rFonts w:hint="eastAsia" w:ascii="宋体" w:hAnsi="宋体"/>
          <w:color w:val="FF0000"/>
          <w:szCs w:val="21"/>
        </w:rPr>
        <w:t>1、2024年</w:t>
      </w:r>
      <w:r>
        <w:rPr>
          <w:rFonts w:ascii="宋体" w:hAnsi="宋体"/>
          <w:color w:val="FF0000"/>
          <w:szCs w:val="21"/>
        </w:rPr>
        <w:t>1</w:t>
      </w:r>
      <w:r>
        <w:rPr>
          <w:rFonts w:hint="eastAsia" w:ascii="宋体" w:hAnsi="宋体"/>
          <w:color w:val="FF0000"/>
          <w:szCs w:val="21"/>
        </w:rPr>
        <w:t>2月份启动，建设期6个月。</w:t>
      </w:r>
    </w:p>
    <w:p w14:paraId="0D5FFD46">
      <w:pPr>
        <w:spacing w:line="360" w:lineRule="auto"/>
        <w:textAlignment w:val="center"/>
        <w:rPr>
          <w:rFonts w:hint="eastAsia" w:ascii="宋体" w:hAnsi="宋体"/>
          <w:b/>
          <w:sz w:val="24"/>
          <w:szCs w:val="24"/>
        </w:rPr>
      </w:pPr>
    </w:p>
    <w:p w14:paraId="6139B459">
      <w:pPr>
        <w:spacing w:line="360" w:lineRule="auto"/>
        <w:textAlignment w:val="center"/>
        <w:rPr>
          <w:rFonts w:hint="eastAsia" w:ascii="宋体" w:hAnsi="宋体"/>
          <w:b/>
          <w:sz w:val="24"/>
          <w:szCs w:val="24"/>
        </w:rPr>
      </w:pPr>
      <w:r>
        <w:rPr>
          <w:rFonts w:hint="eastAsia" w:ascii="宋体" w:hAnsi="宋体"/>
          <w:b/>
          <w:sz w:val="24"/>
          <w:szCs w:val="24"/>
        </w:rPr>
        <w:t>四、付款方式</w:t>
      </w:r>
    </w:p>
    <w:p w14:paraId="7FA63D86">
      <w:pPr>
        <w:spacing w:line="360" w:lineRule="auto"/>
        <w:ind w:firstLine="420" w:firstLineChars="200"/>
        <w:rPr>
          <w:rFonts w:hint="eastAsia" w:ascii="宋体" w:hAnsi="宋体"/>
          <w:b/>
          <w:sz w:val="24"/>
          <w:szCs w:val="24"/>
        </w:rPr>
      </w:pPr>
      <w:r>
        <w:rPr>
          <w:rFonts w:hint="eastAsia" w:ascii="宋体" w:hAnsi="宋体"/>
          <w:szCs w:val="21"/>
        </w:rPr>
        <w:t>按照国银金融租赁股份有限公司相关规定执行。中标人须提供相应的增值税专用发票。</w:t>
      </w:r>
    </w:p>
    <w:p w14:paraId="63ADDC87">
      <w:pPr>
        <w:spacing w:line="360" w:lineRule="auto"/>
        <w:textAlignment w:val="center"/>
        <w:rPr>
          <w:rFonts w:hint="eastAsia" w:ascii="宋体" w:hAnsi="宋体"/>
          <w:szCs w:val="21"/>
        </w:rPr>
      </w:pPr>
      <w:r>
        <w:rPr>
          <w:rFonts w:hint="eastAsia" w:ascii="宋体" w:hAnsi="宋体"/>
          <w:b/>
          <w:sz w:val="24"/>
          <w:szCs w:val="24"/>
        </w:rPr>
        <w:t>五、注意事项</w:t>
      </w:r>
    </w:p>
    <w:p w14:paraId="0902947A">
      <w:pPr>
        <w:spacing w:line="360" w:lineRule="auto"/>
        <w:ind w:firstLine="420" w:firstLineChars="200"/>
        <w:rPr>
          <w:rFonts w:hint="eastAsia" w:ascii="宋体" w:hAnsi="宋体"/>
          <w:szCs w:val="21"/>
        </w:rPr>
      </w:pPr>
      <w:r>
        <w:rPr>
          <w:rFonts w:hint="eastAsia"/>
          <w:szCs w:val="21"/>
        </w:rPr>
        <w:t>1</w:t>
      </w:r>
      <w:r>
        <w:rPr>
          <w:rFonts w:hint="eastAsia" w:ascii="宋体" w:hAnsi="宋体"/>
          <w:szCs w:val="21"/>
        </w:rPr>
        <w:t>、中标人不得将项目非法分包或转包给任何单位和个人。否则，</w:t>
      </w:r>
      <w:r>
        <w:rPr>
          <w:rFonts w:hint="eastAsia" w:ascii="宋体" w:hAnsi="宋体"/>
        </w:rPr>
        <w:t>国银金融租赁股份有限公司</w:t>
      </w:r>
      <w:r>
        <w:rPr>
          <w:rFonts w:hint="eastAsia" w:ascii="宋体" w:hAnsi="宋体"/>
          <w:szCs w:val="21"/>
        </w:rPr>
        <w:t>有权即刻终止合同，并要求中标人赔偿相应损失。</w:t>
      </w:r>
    </w:p>
    <w:p w14:paraId="770012F1">
      <w:pPr>
        <w:spacing w:line="360" w:lineRule="auto"/>
        <w:ind w:firstLine="420" w:firstLineChars="200"/>
        <w:rPr>
          <w:rFonts w:hint="eastAsia" w:ascii="宋体" w:hAnsi="宋体"/>
          <w:szCs w:val="21"/>
        </w:rPr>
      </w:pPr>
      <w:r>
        <w:rPr>
          <w:rFonts w:hint="eastAsia"/>
          <w:szCs w:val="21"/>
        </w:rPr>
        <w:t>2</w:t>
      </w:r>
      <w:r>
        <w:rPr>
          <w:rFonts w:hint="eastAsia" w:ascii="宋体" w:hAnsi="宋体"/>
          <w:szCs w:val="21"/>
        </w:rPr>
        <w:t>、投标人若认为招标文件的技术要求或其他要求有倾向性或不公正性，可在招标答疑阶段提出，以维护招标行为的公平、公正。</w:t>
      </w:r>
    </w:p>
    <w:p w14:paraId="1A419DA8">
      <w:pPr>
        <w:spacing w:line="360" w:lineRule="auto"/>
        <w:ind w:firstLine="420" w:firstLineChars="200"/>
        <w:rPr>
          <w:rFonts w:hint="eastAsia" w:ascii="宋体" w:hAnsi="宋体"/>
          <w:szCs w:val="21"/>
        </w:rPr>
      </w:pPr>
      <w:r>
        <w:rPr>
          <w:rFonts w:hint="eastAsia"/>
          <w:szCs w:val="21"/>
        </w:rPr>
        <w:t>3</w:t>
      </w:r>
      <w:r>
        <w:rPr>
          <w:rFonts w:hint="eastAsia" w:ascii="宋体" w:hAnsi="宋体"/>
          <w:szCs w:val="21"/>
        </w:rPr>
        <w:t>、投标人使用的标准必须是国际公认或国家、或地方政府颁布的同等或更高的标准，如投标人使用的标准低于上述标准，评标委员会将有权不予接受，投标人必须列表将明显的差异详细说明。</w:t>
      </w:r>
    </w:p>
    <w:p w14:paraId="654C6C2A">
      <w:pPr>
        <w:spacing w:line="360" w:lineRule="auto"/>
        <w:ind w:firstLine="420" w:firstLineChars="200"/>
        <w:rPr>
          <w:rFonts w:hint="eastAsia" w:ascii="宋体" w:hAnsi="宋体"/>
          <w:szCs w:val="21"/>
        </w:rPr>
      </w:pPr>
      <w:r>
        <w:rPr>
          <w:rFonts w:hint="eastAsia"/>
          <w:szCs w:val="21"/>
        </w:rPr>
        <w:t>4</w:t>
      </w:r>
      <w:r>
        <w:rPr>
          <w:rFonts w:hint="eastAsia" w:ascii="宋体" w:hAnsi="宋体"/>
          <w:szCs w:val="21"/>
        </w:rPr>
        <w:t>、信息需严格保密，违者将承担法律责任。</w:t>
      </w:r>
    </w:p>
    <w:p w14:paraId="3966F6BE">
      <w:pPr>
        <w:spacing w:line="360" w:lineRule="auto"/>
        <w:rPr>
          <w:rFonts w:hint="eastAsia" w:ascii="宋体" w:hAnsi="宋体"/>
          <w:szCs w:val="21"/>
        </w:rPr>
      </w:pPr>
    </w:p>
    <w:p w14:paraId="55558841">
      <w:pPr>
        <w:spacing w:line="360" w:lineRule="auto"/>
        <w:rPr>
          <w:rFonts w:hint="eastAsia" w:ascii="宋体" w:hAnsi="宋体"/>
          <w:szCs w:val="21"/>
        </w:rPr>
      </w:pPr>
      <w:r>
        <w:rPr>
          <w:rFonts w:hint="eastAsia" w:ascii="宋体" w:hAnsi="宋体"/>
          <w:b/>
          <w:sz w:val="24"/>
          <w:szCs w:val="24"/>
        </w:rPr>
        <w:t>六、项目报价注意事项</w:t>
      </w:r>
    </w:p>
    <w:p w14:paraId="4805A90E">
      <w:pPr>
        <w:spacing w:line="360" w:lineRule="auto"/>
        <w:ind w:firstLine="420" w:firstLineChars="200"/>
        <w:rPr>
          <w:rFonts w:hint="eastAsia" w:ascii="宋体" w:hAnsi="宋体"/>
          <w:szCs w:val="21"/>
        </w:rPr>
      </w:pPr>
      <w:r>
        <w:rPr>
          <w:rFonts w:hint="eastAsia"/>
          <w:szCs w:val="21"/>
        </w:rPr>
        <w:t>1</w:t>
      </w:r>
      <w:r>
        <w:rPr>
          <w:rFonts w:hint="eastAsia" w:ascii="宋体" w:hAnsi="宋体"/>
          <w:szCs w:val="21"/>
        </w:rPr>
        <w:t>、投标人应根据本企业的成本自行决定报价，但不得以低于其企业成本的报价投标；投标人报价必须充分考虑到管理服务要求和特点，以及服务的各种管理因素和环境条件，在服务期限内，因法律、行政法规、国家法令、地方政府的政策规章发生变化，汇率变化、物价上涨或通货膨胀而引起费用的增加，在合同期内服务费将不予调整，且中标人的报价包括入场的各项费用，本项目不再为此增加任何费用；投标人在资源配置方面必须满足现有服务需求，并能够保持持续性改进提升的投入能力。</w:t>
      </w:r>
    </w:p>
    <w:p w14:paraId="51A139DC">
      <w:pPr>
        <w:spacing w:line="360" w:lineRule="auto"/>
        <w:ind w:firstLine="420" w:firstLineChars="200"/>
        <w:rPr>
          <w:rFonts w:hint="eastAsia" w:ascii="宋体" w:hAnsi="宋体"/>
          <w:szCs w:val="21"/>
        </w:rPr>
      </w:pPr>
      <w:r>
        <w:rPr>
          <w:rFonts w:hint="eastAsia"/>
          <w:szCs w:val="21"/>
        </w:rPr>
        <w:t>2</w:t>
      </w:r>
      <w:r>
        <w:rPr>
          <w:rFonts w:hint="eastAsia" w:ascii="宋体" w:hAnsi="宋体"/>
          <w:szCs w:val="21"/>
        </w:rPr>
        <w:t>、投标人的投标报价不得超过投标限价。</w:t>
      </w:r>
    </w:p>
    <w:p w14:paraId="7E4EA013">
      <w:pPr>
        <w:spacing w:line="360" w:lineRule="auto"/>
        <w:ind w:firstLine="420" w:firstLineChars="200"/>
        <w:rPr>
          <w:rFonts w:hint="eastAsia" w:ascii="宋体" w:hAnsi="宋体"/>
          <w:szCs w:val="21"/>
        </w:rPr>
      </w:pPr>
      <w:r>
        <w:rPr>
          <w:rFonts w:hint="eastAsia"/>
          <w:szCs w:val="21"/>
        </w:rPr>
        <w:t>3</w:t>
      </w:r>
      <w:r>
        <w:rPr>
          <w:rFonts w:hint="eastAsia" w:ascii="宋体" w:hAnsi="宋体"/>
          <w:szCs w:val="21"/>
        </w:rPr>
        <w:t>、投标人的投标报价，应是本项目招标范围和招标文件及合同条款上所列的各项内容中所述的全部，不得以任何理由予以重复，并以投标人在招标文件中提出的综合单价或总价为依据。</w:t>
      </w:r>
    </w:p>
    <w:p w14:paraId="1BA2A3BB">
      <w:pPr>
        <w:spacing w:line="360" w:lineRule="auto"/>
        <w:ind w:firstLine="420" w:firstLineChars="200"/>
        <w:rPr>
          <w:rFonts w:hint="eastAsia" w:ascii="宋体" w:hAnsi="宋体"/>
          <w:szCs w:val="21"/>
        </w:rPr>
      </w:pPr>
      <w:r>
        <w:rPr>
          <w:rFonts w:hint="eastAsia"/>
          <w:szCs w:val="21"/>
        </w:rPr>
        <w:t>4</w:t>
      </w:r>
      <w:r>
        <w:rPr>
          <w:rFonts w:hint="eastAsia" w:ascii="宋体" w:hAnsi="宋体"/>
          <w:szCs w:val="21"/>
        </w:rPr>
        <w:t>、中标人根据有关管理法规与国银金融租赁股份有限公司签订服务合同，对相关服务实行统一管理，综合服务，自主经营，自负盈亏。</w:t>
      </w:r>
    </w:p>
    <w:p w14:paraId="3ECA26D4">
      <w:pPr>
        <w:spacing w:line="360" w:lineRule="auto"/>
        <w:ind w:firstLine="495"/>
        <w:textAlignment w:val="center"/>
        <w:rPr>
          <w:rFonts w:hint="eastAsia" w:ascii="宋体" w:hAnsi="宋体"/>
          <w:szCs w:val="21"/>
        </w:rPr>
      </w:pPr>
      <w:r>
        <w:rPr>
          <w:rFonts w:hint="eastAsia"/>
          <w:szCs w:val="21"/>
        </w:rPr>
        <w:t>5</w:t>
      </w:r>
      <w:r>
        <w:rPr>
          <w:rFonts w:hint="eastAsia" w:ascii="宋体" w:hAnsi="宋体"/>
          <w:szCs w:val="21"/>
        </w:rPr>
        <w:t>、如根据合同签署之日的实际情况，上述报价所涵盖的服务内容需进行调整，应以合同签署时约定的服务内容为准；</w:t>
      </w:r>
    </w:p>
    <w:p w14:paraId="6D9E3D24">
      <w:pPr>
        <w:spacing w:line="360" w:lineRule="auto"/>
        <w:ind w:firstLine="495"/>
        <w:textAlignment w:val="center"/>
        <w:rPr>
          <w:rFonts w:hint="eastAsia" w:ascii="宋体" w:hAnsi="宋体"/>
          <w:szCs w:val="21"/>
        </w:rPr>
      </w:pPr>
      <w:r>
        <w:rPr>
          <w:rFonts w:hint="eastAsia"/>
          <w:szCs w:val="21"/>
        </w:rPr>
        <w:t>6</w:t>
      </w:r>
      <w:r>
        <w:rPr>
          <w:rFonts w:hint="eastAsia" w:ascii="宋体" w:hAnsi="宋体"/>
          <w:szCs w:val="21"/>
        </w:rPr>
        <w:t>、因延迟未能保证在服务周期内完成服务时，可以同等商务条款续约；</w:t>
      </w:r>
    </w:p>
    <w:p w14:paraId="6B6F1AA5">
      <w:pPr>
        <w:spacing w:line="360" w:lineRule="auto"/>
        <w:ind w:firstLine="495"/>
        <w:textAlignment w:val="center"/>
        <w:rPr>
          <w:rFonts w:hint="eastAsia" w:ascii="宋体" w:hAnsi="宋体"/>
          <w:szCs w:val="21"/>
        </w:rPr>
      </w:pPr>
      <w:r>
        <w:rPr>
          <w:rFonts w:hint="eastAsia"/>
          <w:szCs w:val="21"/>
        </w:rPr>
        <w:t>7</w:t>
      </w:r>
      <w:r>
        <w:rPr>
          <w:rFonts w:hint="eastAsia" w:ascii="宋体" w:hAnsi="宋体"/>
          <w:szCs w:val="21"/>
        </w:rPr>
        <w:t>、投标人应保证本项目得到优先的资源配置和项目处理，不因投标人同一时期操办项目的数量及其他外界因素而延误。</w:t>
      </w:r>
    </w:p>
    <w:p w14:paraId="3B8932DC">
      <w:pPr>
        <w:spacing w:line="360" w:lineRule="auto"/>
        <w:ind w:firstLine="420" w:firstLineChars="200"/>
        <w:rPr>
          <w:rFonts w:hint="eastAsia" w:ascii="宋体" w:hAnsi="宋体"/>
          <w:szCs w:val="21"/>
        </w:rPr>
      </w:pPr>
      <w:r>
        <w:rPr>
          <w:rFonts w:hint="eastAsia"/>
          <w:szCs w:val="21"/>
        </w:rPr>
        <w:t>8</w:t>
      </w:r>
      <w:r>
        <w:rPr>
          <w:rFonts w:hint="eastAsia" w:ascii="宋体" w:hAnsi="宋体"/>
          <w:szCs w:val="21"/>
        </w:rPr>
        <w:t>、本项目投标限价总金额为：</w:t>
      </w:r>
    </w:p>
    <w:p w14:paraId="55E81EE3">
      <w:pPr>
        <w:spacing w:line="276" w:lineRule="auto"/>
        <w:ind w:firstLine="422" w:firstLineChars="200"/>
        <w:rPr>
          <w:rFonts w:ascii="宋体" w:hAnsi="宋体"/>
          <w:b/>
          <w:sz w:val="24"/>
          <w:szCs w:val="24"/>
        </w:rPr>
      </w:pPr>
      <w:r>
        <w:rPr>
          <w:rFonts w:hint="eastAsia" w:ascii="宋体" w:hAnsi="宋体"/>
          <w:b/>
          <w:bCs/>
          <w:kern w:val="0"/>
          <w:szCs w:val="21"/>
        </w:rPr>
        <w:t>人民币贰佰万元整（</w:t>
      </w:r>
      <w:r>
        <w:rPr>
          <w:rFonts w:hint="eastAsia"/>
          <w:b/>
          <w:bCs/>
          <w:kern w:val="0"/>
          <w:szCs w:val="21"/>
        </w:rPr>
        <w:t>￥2,00</w:t>
      </w:r>
      <w:r>
        <w:rPr>
          <w:b/>
          <w:bCs/>
          <w:kern w:val="0"/>
          <w:szCs w:val="21"/>
        </w:rPr>
        <w:t>0</w:t>
      </w:r>
      <w:r>
        <w:rPr>
          <w:rFonts w:hint="eastAsia" w:ascii="宋体" w:hAnsi="宋体"/>
          <w:b/>
          <w:bCs/>
          <w:kern w:val="0"/>
          <w:szCs w:val="21"/>
        </w:rPr>
        <w:t>,</w:t>
      </w:r>
      <w:r>
        <w:rPr>
          <w:rFonts w:hint="eastAsia"/>
          <w:b/>
          <w:bCs/>
          <w:kern w:val="0"/>
          <w:szCs w:val="21"/>
        </w:rPr>
        <w:t>000</w:t>
      </w:r>
      <w:r>
        <w:rPr>
          <w:rFonts w:hint="eastAsia" w:ascii="宋体" w:hAnsi="宋体"/>
          <w:b/>
          <w:bCs/>
          <w:kern w:val="0"/>
          <w:szCs w:val="21"/>
        </w:rPr>
        <w:t>.</w:t>
      </w:r>
      <w:r>
        <w:rPr>
          <w:rFonts w:hint="eastAsia"/>
          <w:b/>
          <w:bCs/>
          <w:kern w:val="0"/>
          <w:szCs w:val="21"/>
        </w:rPr>
        <w:t>00</w:t>
      </w:r>
      <w:r>
        <w:rPr>
          <w:rFonts w:hint="eastAsia" w:ascii="宋体" w:hAnsi="宋体"/>
          <w:b/>
          <w:bCs/>
          <w:kern w:val="0"/>
          <w:szCs w:val="21"/>
        </w:rPr>
        <w:t>）（含税），</w:t>
      </w:r>
      <w:r>
        <w:rPr>
          <w:rFonts w:hint="eastAsia" w:ascii="宋体" w:hAnsi="宋体"/>
          <w:b/>
          <w:bCs/>
          <w:szCs w:val="21"/>
        </w:rPr>
        <w:t>投标报价不能超过最高限价。超过本投标限价总金额的投标报价将作废标处理。</w:t>
      </w:r>
    </w:p>
    <w:p w14:paraId="7A1ABEFB">
      <w:pPr>
        <w:spacing w:line="276" w:lineRule="auto"/>
        <w:rPr>
          <w:rFonts w:ascii="宋体" w:hAnsi="宋体"/>
          <w:b/>
          <w:sz w:val="24"/>
          <w:szCs w:val="24"/>
        </w:rPr>
      </w:pPr>
    </w:p>
    <w:p w14:paraId="2E2ABFF8">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0BDF0A"/>
    <w:multiLevelType w:val="singleLevel"/>
    <w:tmpl w:val="410BDF0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54BBD"/>
    <w:rsid w:val="11B54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qFormat/>
    <w:uiPriority w:val="0"/>
    <w:pPr>
      <w:keepNext/>
      <w:keepLines/>
      <w:spacing w:before="340" w:beforeLines="0" w:after="330" w:afterLines="0" w:line="576"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2024-12-12T10:14:00Z</dcterms:created>
  <dc:creator>WPS_1664272747</dc:creator>
  <cp:lastModifiedBy>WPS_1664272747</cp:lastModifiedBy>
  <dcterms:modified xsi:type="dcterms:W3CDTF">2024-12-12T10:14:55Z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A768878BCC104854B10D62066A6BD827_11</vt:lpwstr>
  </property>
</Properties>
</file>