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cs="Times New Roman"/>
          <w:bCs/>
          <w:snapToGrid w:val="0"/>
          <w:kern w:val="0"/>
          <w:sz w:val="36"/>
          <w:szCs w:val="36"/>
        </w:rPr>
      </w:pPr>
      <w:bookmarkStart w:id="0" w:name="_GoBack"/>
      <w:bookmarkEnd w:id="0"/>
      <w:r>
        <w:rPr>
          <w:rFonts w:hint="eastAsia" w:ascii="彩虹小标宋" w:hAnsi="宋体" w:eastAsia="彩虹小标宋" w:cs="Times New Roman"/>
          <w:bCs/>
          <w:snapToGrid w:val="0"/>
          <w:kern w:val="0"/>
          <w:sz w:val="36"/>
          <w:szCs w:val="36"/>
        </w:rPr>
        <w:t>账户运营外包服务</w:t>
      </w:r>
      <w:r>
        <w:rPr>
          <w:rFonts w:ascii="彩虹小标宋" w:hAnsi="宋体" w:eastAsia="彩虹小标宋" w:cs="Times New Roman"/>
          <w:bCs/>
          <w:snapToGrid w:val="0"/>
          <w:kern w:val="0"/>
          <w:sz w:val="36"/>
          <w:szCs w:val="36"/>
        </w:rPr>
        <w:t>采购需求</w:t>
      </w:r>
    </w:p>
    <w:p>
      <w:pPr>
        <w:numPr>
          <w:ilvl w:val="0"/>
          <w:numId w:val="1"/>
        </w:numPr>
        <w:adjustRightInd w:val="0"/>
        <w:snapToGrid w:val="0"/>
        <w:spacing w:before="312" w:beforeLines="100" w:line="360" w:lineRule="auto"/>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服务供应商要求</w:t>
      </w:r>
    </w:p>
    <w:p>
      <w:pPr>
        <w:numPr>
          <w:ilvl w:val="0"/>
          <w:numId w:val="2"/>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eastAsia="彩虹粗仿宋"/>
          <w:sz w:val="32"/>
          <w:szCs w:val="32"/>
        </w:rPr>
        <w:t>服务商为中华人民共和国境内合法注册的独立法人，具有独立承担民事责任的能力，遵守国家有关法律、法规，具有良好的商业信誉和健全的财务会计制度。</w:t>
      </w:r>
    </w:p>
    <w:p>
      <w:pPr>
        <w:adjustRightInd w:val="0"/>
        <w:snapToGrid w:val="0"/>
        <w:spacing w:line="360" w:lineRule="auto"/>
        <w:ind w:firstLine="640" w:firstLineChars="200"/>
        <w:rPr>
          <w:rFonts w:ascii="彩虹粗仿宋" w:eastAsia="彩虹粗仿宋"/>
          <w:sz w:val="32"/>
          <w:szCs w:val="32"/>
        </w:rPr>
      </w:pPr>
      <w:r>
        <w:rPr>
          <w:rFonts w:hint="eastAsia" w:ascii="彩虹粗仿宋" w:hAnsi="宋体" w:eastAsia="彩虹粗仿宋" w:cs="Times New Roman"/>
          <w:snapToGrid w:val="0"/>
          <w:kern w:val="0"/>
          <w:sz w:val="32"/>
          <w:szCs w:val="32"/>
        </w:rPr>
        <w:t>2.</w:t>
      </w:r>
      <w:r>
        <w:rPr>
          <w:rFonts w:hint="eastAsia" w:ascii="彩虹粗仿宋" w:eastAsia="彩虹粗仿宋"/>
          <w:sz w:val="32"/>
          <w:szCs w:val="32"/>
        </w:rPr>
        <w:t xml:space="preserve"> 服务商当前未处于限制开展生产经营活动、责令停产停业、责令关闭、限制从业等重大行政处罚期内。</w:t>
      </w:r>
    </w:p>
    <w:p>
      <w:pPr>
        <w:adjustRightInd w:val="0"/>
        <w:snapToGrid w:val="0"/>
        <w:spacing w:line="360" w:lineRule="auto"/>
        <w:ind w:firstLine="640" w:firstLineChars="200"/>
        <w:rPr>
          <w:rFonts w:ascii="彩虹粗仿宋" w:eastAsia="彩虹粗仿宋"/>
          <w:sz w:val="32"/>
          <w:szCs w:val="32"/>
        </w:rPr>
      </w:pPr>
      <w:r>
        <w:rPr>
          <w:rFonts w:ascii="彩虹粗仿宋" w:eastAsia="彩虹粗仿宋"/>
          <w:sz w:val="32"/>
          <w:szCs w:val="32"/>
        </w:rPr>
        <w:t>3.</w:t>
      </w:r>
      <w:r>
        <w:rPr>
          <w:rFonts w:hint="eastAsia" w:ascii="彩虹粗仿宋" w:eastAsia="彩虹粗仿宋"/>
          <w:sz w:val="32"/>
          <w:szCs w:val="32"/>
        </w:rPr>
        <w:t xml:space="preserve"> 服务商当前未被“信用中国”网站列入税收违法黑名单；未被“中国执行信息公开网</w:t>
      </w:r>
      <w:r>
        <w:rPr>
          <w:rFonts w:hint="eastAsia" w:eastAsia="彩虹粗仿宋" w:cs="Calibri"/>
          <w:sz w:val="32"/>
          <w:szCs w:val="32"/>
        </w:rPr>
        <w:t>”列入</w:t>
      </w:r>
      <w:r>
        <w:rPr>
          <w:rFonts w:hint="eastAsia" w:ascii="彩虹粗仿宋" w:eastAsia="彩虹粗仿宋"/>
          <w:sz w:val="32"/>
          <w:szCs w:val="32"/>
        </w:rPr>
        <w:t>失信被执行人名单；未被“中国政府采购网”列入政府采购严重违法失信行为记录名单；未被“国家企业信用信息公示系统”网站列入严重违法失信名单。</w:t>
      </w:r>
    </w:p>
    <w:p>
      <w:pPr>
        <w:spacing w:line="360" w:lineRule="auto"/>
        <w:ind w:firstLine="640" w:firstLineChars="200"/>
        <w:rPr>
          <w:rFonts w:ascii="彩虹粗仿宋" w:eastAsia="彩虹粗仿宋"/>
          <w:sz w:val="32"/>
          <w:szCs w:val="32"/>
        </w:rPr>
      </w:pPr>
      <w:r>
        <w:rPr>
          <w:rFonts w:hint="eastAsia" w:ascii="彩虹粗仿宋" w:eastAsia="彩虹粗仿宋"/>
          <w:sz w:val="32"/>
          <w:szCs w:val="32"/>
        </w:rPr>
        <w:t>4</w:t>
      </w:r>
      <w:r>
        <w:rPr>
          <w:rFonts w:ascii="彩虹粗仿宋" w:eastAsia="彩虹粗仿宋"/>
          <w:sz w:val="32"/>
          <w:szCs w:val="32"/>
        </w:rPr>
        <w:t>.</w:t>
      </w:r>
      <w:r>
        <w:rPr>
          <w:rFonts w:hint="eastAsia" w:ascii="彩虹粗仿宋" w:eastAsia="彩虹粗仿宋"/>
          <w:sz w:val="32"/>
          <w:szCs w:val="32"/>
        </w:rPr>
        <w:t>法定代表人（负责人）为同一人或存在控股、管理关系的不同服务商，不得同时参加本项目。</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5</w:t>
      </w:r>
      <w:r>
        <w:rPr>
          <w:rFonts w:ascii="彩虹粗仿宋" w:hAnsi="宋体" w:eastAsia="彩虹粗仿宋"/>
          <w:snapToGrid w:val="0"/>
          <w:kern w:val="0"/>
          <w:sz w:val="32"/>
          <w:szCs w:val="32"/>
        </w:rPr>
        <w:t>.</w:t>
      </w:r>
      <w:r>
        <w:rPr>
          <w:rFonts w:hint="eastAsia" w:ascii="彩虹粗仿宋" w:hAnsi="宋体" w:eastAsia="彩虹粗仿宋"/>
          <w:snapToGrid w:val="0"/>
          <w:kern w:val="0"/>
          <w:sz w:val="32"/>
          <w:szCs w:val="32"/>
        </w:rPr>
        <w:t>服务商</w:t>
      </w:r>
      <w:r>
        <w:rPr>
          <w:rFonts w:hint="eastAsia" w:ascii="彩虹粗仿宋" w:hAnsi="彩虹粗仿宋" w:eastAsia="彩虹粗仿宋" w:cs="Segoe UI"/>
          <w:sz w:val="32"/>
          <w:szCs w:val="32"/>
        </w:rPr>
        <w:t>与建信信托不存在利益冲突，不存在损害建信信托合法利益和声誉的情形，不存在针对建信信托的重</w:t>
      </w:r>
      <w:r>
        <w:rPr>
          <w:rFonts w:hint="eastAsia" w:ascii="彩虹粗仿宋" w:hAnsi="宋体" w:eastAsia="彩虹粗仿宋"/>
          <w:snapToGrid w:val="0"/>
          <w:kern w:val="0"/>
          <w:sz w:val="32"/>
          <w:szCs w:val="32"/>
        </w:rPr>
        <w:t>大诚信问题。</w:t>
      </w:r>
    </w:p>
    <w:p>
      <w:pPr>
        <w:spacing w:line="360" w:lineRule="auto"/>
        <w:ind w:firstLine="640" w:firstLineChars="200"/>
        <w:jc w:val="left"/>
        <w:rPr>
          <w:rFonts w:ascii="彩虹粗仿宋" w:hAnsi="宋体" w:eastAsia="彩虹粗仿宋"/>
          <w:snapToGrid w:val="0"/>
          <w:kern w:val="0"/>
          <w:sz w:val="32"/>
          <w:szCs w:val="32"/>
        </w:rPr>
      </w:pPr>
      <w:r>
        <w:rPr>
          <w:rFonts w:ascii="彩虹粗仿宋" w:hAnsi="宋体" w:eastAsia="彩虹粗仿宋"/>
          <w:snapToGrid w:val="0"/>
          <w:kern w:val="0"/>
          <w:sz w:val="32"/>
          <w:szCs w:val="32"/>
        </w:rPr>
        <w:t>6.服务商在资格审查时未处于建信信托供应商禁用或退出期内。</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7.服务商承诺在本项目招标过程中不存在下列情形，如存在下列情形之一，招标人有权取消其投标或中标资格。情形包括但不限于：</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①法定代表人（负责人）在生产经营活动中受到刑事处罚；</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②重大并购或重组，影响正常生产经营；</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③其他重大风险事项，影响正常采购合作。</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snapToGrid w:val="0"/>
          <w:kern w:val="0"/>
          <w:sz w:val="32"/>
          <w:szCs w:val="32"/>
        </w:rPr>
        <w:t>8</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供应商应具有信托等金融机构产品运营外包服务的项目经验。</w:t>
      </w:r>
    </w:p>
    <w:p>
      <w:pPr>
        <w:numPr>
          <w:ilvl w:val="0"/>
          <w:numId w:val="1"/>
        </w:numPr>
        <w:adjustRightInd w:val="0"/>
        <w:snapToGrid w:val="0"/>
        <w:spacing w:line="360" w:lineRule="auto"/>
        <w:ind w:firstLine="643" w:firstLineChars="200"/>
        <w:rPr>
          <w:rFonts w:ascii="彩虹粗仿宋" w:hAnsi="宋体" w:eastAsia="彩虹粗仿宋" w:cs="宋体"/>
          <w:b/>
          <w:snapToGrid w:val="0"/>
          <w:kern w:val="0"/>
          <w:sz w:val="32"/>
          <w:szCs w:val="32"/>
        </w:rPr>
      </w:pPr>
      <w:r>
        <w:rPr>
          <w:rFonts w:hint="eastAsia" w:ascii="彩虹粗仿宋" w:hAnsi="宋体" w:eastAsia="彩虹粗仿宋" w:cs="Times New Roman"/>
          <w:b/>
          <w:snapToGrid w:val="0"/>
          <w:kern w:val="0"/>
          <w:sz w:val="32"/>
          <w:szCs w:val="32"/>
        </w:rPr>
        <w:t>服务品类</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外包</w:t>
      </w:r>
      <w:r>
        <w:rPr>
          <w:rFonts w:ascii="彩虹粗仿宋" w:hAnsi="宋体" w:eastAsia="彩虹粗仿宋" w:cs="Times New Roman"/>
          <w:snapToGrid w:val="0"/>
          <w:color w:val="000000" w:themeColor="text1"/>
          <w:kern w:val="0"/>
          <w:sz w:val="32"/>
          <w:szCs w:val="32"/>
          <w14:textFill>
            <w14:solidFill>
              <w14:schemeClr w14:val="tx1"/>
            </w14:solidFill>
          </w14:textFill>
        </w:rPr>
        <w:t>服务</w:t>
      </w: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w:t>
      </w:r>
    </w:p>
    <w:p>
      <w:pPr>
        <w:numPr>
          <w:ilvl w:val="0"/>
          <w:numId w:val="1"/>
        </w:numPr>
        <w:adjustRightInd w:val="0"/>
        <w:snapToGrid w:val="0"/>
        <w:spacing w:line="360" w:lineRule="auto"/>
        <w:ind w:firstLine="643" w:firstLineChars="200"/>
        <w:rPr>
          <w:rFonts w:ascii="彩虹粗仿宋" w:hAnsi="宋体" w:eastAsia="彩虹粗仿宋" w:cs="宋体"/>
          <w:b/>
          <w:snapToGrid w:val="0"/>
          <w:kern w:val="0"/>
          <w:sz w:val="32"/>
          <w:szCs w:val="32"/>
        </w:rPr>
      </w:pPr>
      <w:r>
        <w:rPr>
          <w:rFonts w:hint="eastAsia" w:ascii="彩虹粗仿宋" w:hAnsi="宋体" w:eastAsia="彩虹粗仿宋" w:cs="Times New Roman"/>
          <w:b/>
          <w:snapToGrid w:val="0"/>
          <w:kern w:val="0"/>
          <w:sz w:val="32"/>
          <w:szCs w:val="32"/>
        </w:rPr>
        <w:t>服务内容和交付成果</w:t>
      </w:r>
    </w:p>
    <w:p>
      <w:pPr>
        <w:pStyle w:val="11"/>
        <w:numPr>
          <w:ilvl w:val="0"/>
          <w:numId w:val="0"/>
        </w:numPr>
        <w:spacing w:line="560" w:lineRule="exact"/>
        <w:ind w:firstLine="566" w:firstLineChars="177"/>
        <w:rPr>
          <w:rFonts w:ascii="彩虹粗仿宋" w:hAnsi="仿宋" w:eastAsia="彩虹粗仿宋"/>
          <w:sz w:val="32"/>
          <w:szCs w:val="30"/>
        </w:rPr>
      </w:pPr>
      <w:r>
        <w:rPr>
          <w:rFonts w:hint="eastAsia" w:ascii="彩虹粗仿宋" w:hAnsi="仿宋" w:eastAsia="彩虹粗仿宋"/>
          <w:sz w:val="32"/>
          <w:szCs w:val="30"/>
        </w:rPr>
        <w:t>拟聘请外包服务商主要负责信托项目产品运营工作，</w:t>
      </w:r>
      <w:r>
        <w:rPr>
          <w:rFonts w:ascii="彩虹粗仿宋" w:hAnsi="仿宋" w:eastAsia="彩虹粗仿宋"/>
          <w:sz w:val="32"/>
          <w:szCs w:val="30"/>
        </w:rPr>
        <w:t>驻场服务地点在合肥，</w:t>
      </w:r>
      <w:r>
        <w:rPr>
          <w:rFonts w:hint="eastAsia" w:ascii="彩虹粗仿宋" w:hAnsi="仿宋" w:eastAsia="彩虹粗仿宋"/>
          <w:sz w:val="32"/>
          <w:szCs w:val="30"/>
        </w:rPr>
        <w:t>其服务领域包括但不限于：各类信托项目托管账户、理财子业务定期户的开立、变更、销户；银行流水查询核对；辅助完成项目划款事项执行</w:t>
      </w:r>
      <w:r>
        <w:rPr>
          <w:rFonts w:ascii="彩虹粗仿宋" w:hAnsi="仿宋" w:eastAsia="彩虹粗仿宋"/>
          <w:sz w:val="32"/>
          <w:szCs w:val="30"/>
        </w:rPr>
        <w:t>、信托产品基础账务执行、估值沟通、信息披露底稿撰写、监管报表底稿制表、</w:t>
      </w:r>
      <w:r>
        <w:rPr>
          <w:rFonts w:hint="eastAsia" w:ascii="彩虹粗仿宋" w:hAnsi="仿宋" w:eastAsia="彩虹粗仿宋"/>
          <w:sz w:val="32"/>
          <w:szCs w:val="30"/>
        </w:rPr>
        <w:t>项目</w:t>
      </w:r>
      <w:r>
        <w:rPr>
          <w:rFonts w:ascii="彩虹粗仿宋" w:hAnsi="仿宋" w:eastAsia="彩虹粗仿宋"/>
          <w:sz w:val="32"/>
          <w:szCs w:val="30"/>
        </w:rPr>
        <w:t>材料存档、查询工单回复、其他存续期产品管理</w:t>
      </w:r>
      <w:r>
        <w:rPr>
          <w:rFonts w:hint="eastAsia" w:ascii="彩虹粗仿宋" w:hAnsi="仿宋" w:eastAsia="彩虹粗仿宋"/>
          <w:sz w:val="32"/>
          <w:szCs w:val="30"/>
        </w:rPr>
        <w:t>和协助完成系统优化</w:t>
      </w:r>
      <w:r>
        <w:rPr>
          <w:rFonts w:ascii="彩虹粗仿宋" w:hAnsi="仿宋" w:eastAsia="彩虹粗仿宋"/>
          <w:sz w:val="32"/>
          <w:szCs w:val="30"/>
        </w:rPr>
        <w:t>等。</w:t>
      </w:r>
    </w:p>
    <w:p>
      <w:pPr>
        <w:pStyle w:val="11"/>
        <w:numPr>
          <w:ilvl w:val="0"/>
          <w:numId w:val="0"/>
        </w:numPr>
        <w:spacing w:line="560" w:lineRule="exact"/>
        <w:ind w:firstLine="566" w:firstLineChars="177"/>
        <w:rPr>
          <w:rFonts w:hint="eastAsia" w:ascii="彩虹粗仿宋" w:hAnsi="仿宋" w:eastAsia="彩虹粗仿宋"/>
          <w:sz w:val="32"/>
          <w:szCs w:val="30"/>
        </w:rPr>
      </w:pPr>
    </w:p>
    <w:p>
      <w:pPr>
        <w:numPr>
          <w:ilvl w:val="0"/>
          <w:numId w:val="1"/>
        </w:numPr>
        <w:adjustRightInd w:val="0"/>
        <w:snapToGrid w:val="0"/>
        <w:spacing w:line="360" w:lineRule="auto"/>
        <w:ind w:firstLine="643" w:firstLineChars="200"/>
        <w:rPr>
          <w:rFonts w:hint="eastAsia" w:ascii="彩虹粗仿宋" w:hAnsi="宋体" w:eastAsia="彩虹粗仿宋" w:cs="Times New Roman"/>
          <w:b/>
          <w:snapToGrid w:val="0"/>
          <w:kern w:val="0"/>
          <w:sz w:val="32"/>
          <w:szCs w:val="32"/>
        </w:rPr>
      </w:pPr>
      <w:r>
        <w:rPr>
          <w:rFonts w:ascii="彩虹粗仿宋" w:hAnsi="宋体" w:eastAsia="彩虹粗仿宋" w:cs="Times New Roman"/>
          <w:b/>
          <w:snapToGrid w:val="0"/>
          <w:kern w:val="0"/>
          <w:sz w:val="32"/>
          <w:szCs w:val="32"/>
        </w:rPr>
        <w:t>服务团队要求</w:t>
      </w:r>
    </w:p>
    <w:p>
      <w:pPr>
        <w:numPr>
          <w:ilvl w:val="0"/>
          <w:numId w:val="0"/>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包括项目负责人资质经验、项目团队成员数量结构和资质经验等。</w:t>
      </w:r>
    </w:p>
    <w:p>
      <w:pPr>
        <w:numPr>
          <w:ilvl w:val="255"/>
          <w:numId w:val="0"/>
        </w:numPr>
        <w:adjustRightInd w:val="0"/>
        <w:snapToGrid w:val="0"/>
        <w:spacing w:line="360" w:lineRule="auto"/>
        <w:ind w:firstLine="64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项目总负责人需具备</w:t>
      </w:r>
      <w:r>
        <w:rPr>
          <w:rFonts w:ascii="彩虹粗仿宋" w:hAnsi="宋体" w:eastAsia="彩虹粗仿宋" w:cs="Times New Roman"/>
          <w:snapToGrid w:val="0"/>
          <w:kern w:val="0"/>
          <w:sz w:val="32"/>
          <w:szCs w:val="32"/>
        </w:rPr>
        <w:t>8</w:t>
      </w:r>
      <w:r>
        <w:rPr>
          <w:rFonts w:hint="eastAsia" w:ascii="彩虹粗仿宋" w:hAnsi="宋体" w:eastAsia="彩虹粗仿宋" w:cs="Times New Roman"/>
          <w:snapToGrid w:val="0"/>
          <w:kern w:val="0"/>
          <w:sz w:val="32"/>
          <w:szCs w:val="32"/>
        </w:rPr>
        <w:t>年以上资管行业运营经验以及团队管理经验，了解投融资项目和账户运营流程。</w:t>
      </w:r>
    </w:p>
    <w:p>
      <w:pPr>
        <w:numPr>
          <w:ilvl w:val="255"/>
          <w:numId w:val="0"/>
        </w:numPr>
        <w:adjustRightInd w:val="0"/>
        <w:snapToGrid w:val="0"/>
        <w:spacing w:line="360" w:lineRule="auto"/>
        <w:ind w:firstLine="640" w:firstLineChars="0"/>
        <w:rPr>
          <w:rFonts w:ascii="彩虹粗仿宋" w:hAnsi="仿宋" w:eastAsia="彩虹粗仿宋"/>
          <w:sz w:val="32"/>
          <w:szCs w:val="30"/>
        </w:rPr>
      </w:pPr>
      <w:r>
        <w:rPr>
          <w:rFonts w:hint="eastAsia" w:ascii="彩虹粗仿宋" w:hAnsi="宋体" w:eastAsia="彩虹粗仿宋" w:cs="Times New Roman"/>
          <w:snapToGrid w:val="0"/>
          <w:kern w:val="0"/>
          <w:sz w:val="32"/>
          <w:szCs w:val="32"/>
        </w:rPr>
        <w:t>项目团队人员共5名，包括</w:t>
      </w:r>
      <w:r>
        <w:rPr>
          <w:rFonts w:ascii="彩虹粗仿宋" w:hAnsi="仿宋" w:eastAsia="彩虹粗仿宋"/>
          <w:sz w:val="32"/>
          <w:szCs w:val="30"/>
        </w:rPr>
        <w:t>初级</w:t>
      </w:r>
      <w:r>
        <w:rPr>
          <w:rFonts w:hint="eastAsia" w:ascii="彩虹粗仿宋" w:hAnsi="仿宋" w:eastAsia="彩虹粗仿宋"/>
          <w:sz w:val="32"/>
          <w:szCs w:val="30"/>
        </w:rPr>
        <w:t>4人，中级1人。其中初级人员履职要求如下：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589"/>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b/>
                <w:sz w:val="24"/>
                <w:szCs w:val="30"/>
              </w:rPr>
              <w:t>层级</w:t>
            </w:r>
          </w:p>
        </w:tc>
        <w:tc>
          <w:tcPr>
            <w:tcW w:w="5533"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b/>
                <w:sz w:val="24"/>
                <w:szCs w:val="30"/>
              </w:rPr>
              <w:t>岗位类型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初级</w:t>
            </w:r>
          </w:p>
        </w:tc>
        <w:tc>
          <w:tcPr>
            <w:tcW w:w="5533"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运营辅助操作岗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b/>
                <w:sz w:val="24"/>
                <w:szCs w:val="30"/>
              </w:rPr>
              <w:t>岗位能力素质要求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sz w:val="24"/>
                <w:szCs w:val="30"/>
              </w:rPr>
              <w:t>任职资格</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学历：全日制本科及以上学历，</w:t>
            </w:r>
            <w:r>
              <w:rPr>
                <w:rFonts w:ascii="彩虹粗仿宋" w:eastAsia="彩虹粗仿宋"/>
                <w:sz w:val="24"/>
                <w:szCs w:val="30"/>
              </w:rPr>
              <w:t>211</w:t>
            </w:r>
            <w:r>
              <w:rPr>
                <w:rFonts w:hint="eastAsia" w:ascii="彩虹粗仿宋" w:eastAsia="彩虹粗仿宋"/>
                <w:sz w:val="24"/>
                <w:szCs w:val="30"/>
              </w:rPr>
              <w:t>学历优先，专业为金融、财会专业优先。</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工作年限：1年及以上金融产品运营相关工作经验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知识技能</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熟悉银行账户的基础知识，了解财务相关基础知识</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熟练掌握Excel、PPT等办公软件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职业素养</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有较强的责任心，具备良好的职业操守，工作严谨；</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善于处理流程性事务，具备良好的学习能力、沟通能力，团队协作能力。</w:t>
            </w:r>
          </w:p>
        </w:tc>
      </w:tr>
    </w:tbl>
    <w:p>
      <w:pPr>
        <w:numPr>
          <w:ilvl w:val="255"/>
          <w:numId w:val="0"/>
        </w:numPr>
        <w:adjustRightInd w:val="0"/>
        <w:snapToGrid w:val="0"/>
        <w:spacing w:line="360" w:lineRule="auto"/>
        <w:ind w:firstLine="640"/>
        <w:rPr>
          <w:rStyle w:val="9"/>
        </w:rPr>
      </w:pPr>
    </w:p>
    <w:p>
      <w:pPr>
        <w:numPr>
          <w:ilvl w:val="255"/>
          <w:numId w:val="0"/>
        </w:numPr>
        <w:adjustRightInd w:val="0"/>
        <w:snapToGrid w:val="0"/>
        <w:spacing w:line="360" w:lineRule="auto"/>
        <w:ind w:firstLine="640"/>
        <w:rPr>
          <w:rFonts w:ascii="彩虹粗仿宋" w:hAnsi="仿宋" w:eastAsia="彩虹粗仿宋"/>
          <w:sz w:val="32"/>
          <w:szCs w:val="30"/>
        </w:rPr>
      </w:pPr>
      <w:r>
        <w:rPr>
          <w:rStyle w:val="9"/>
        </w:rPr>
        <w:t xml:space="preserve"> </w:t>
      </w:r>
      <w:r>
        <w:rPr>
          <w:rFonts w:hint="eastAsia" w:ascii="彩虹粗仿宋" w:hAnsi="仿宋" w:eastAsia="彩虹粗仿宋"/>
          <w:sz w:val="32"/>
          <w:szCs w:val="30"/>
        </w:rPr>
        <w:t>中级人员履职要求如下：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589"/>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b/>
                <w:sz w:val="24"/>
                <w:szCs w:val="30"/>
              </w:rPr>
              <w:t>层级</w:t>
            </w:r>
          </w:p>
        </w:tc>
        <w:tc>
          <w:tcPr>
            <w:tcW w:w="5533"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b/>
                <w:sz w:val="24"/>
                <w:szCs w:val="30"/>
              </w:rPr>
              <w:t>岗位类型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中级</w:t>
            </w:r>
          </w:p>
        </w:tc>
        <w:tc>
          <w:tcPr>
            <w:tcW w:w="5533"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运营辅助操作岗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b/>
                <w:sz w:val="24"/>
                <w:szCs w:val="30"/>
              </w:rPr>
              <w:t>岗位能力素质要求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b/>
                <w:sz w:val="24"/>
                <w:szCs w:val="30"/>
              </w:rPr>
            </w:pPr>
            <w:r>
              <w:rPr>
                <w:rFonts w:hint="eastAsia" w:ascii="彩虹粗仿宋" w:eastAsia="彩虹粗仿宋"/>
                <w:sz w:val="24"/>
                <w:szCs w:val="30"/>
              </w:rPr>
              <w:t>任职资格</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学历：全日制本科及以上学历，</w:t>
            </w:r>
            <w:r>
              <w:rPr>
                <w:rFonts w:ascii="彩虹粗仿宋" w:eastAsia="彩虹粗仿宋"/>
                <w:sz w:val="24"/>
                <w:szCs w:val="30"/>
              </w:rPr>
              <w:t>211</w:t>
            </w:r>
            <w:r>
              <w:rPr>
                <w:rFonts w:hint="eastAsia" w:ascii="彩虹粗仿宋" w:eastAsia="彩虹粗仿宋"/>
                <w:sz w:val="24"/>
                <w:szCs w:val="30"/>
              </w:rPr>
              <w:t>学历优先，专业为金融、财会专业优先。</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工作年限：3年及以上金融产品运营相关工作经验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知识技能</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熟悉金融产品、银行账户的基础知识，了解财务相关基础知识</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熟练掌握Excel、PPT等办公软件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彩虹粗仿宋" w:eastAsia="彩虹粗仿宋"/>
                <w:sz w:val="24"/>
                <w:szCs w:val="30"/>
              </w:rPr>
            </w:pPr>
            <w:r>
              <w:rPr>
                <w:rFonts w:hint="eastAsia" w:ascii="彩虹粗仿宋" w:eastAsia="彩虹粗仿宋"/>
                <w:sz w:val="24"/>
                <w:szCs w:val="30"/>
              </w:rPr>
              <w:t>职业素养</w:t>
            </w:r>
          </w:p>
        </w:tc>
        <w:tc>
          <w:tcPr>
            <w:tcW w:w="6122" w:type="dxa"/>
            <w:gridSpan w:val="2"/>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有较强的责任心，具备良好的职业操守，工作严谨；</w:t>
            </w:r>
          </w:p>
          <w:p>
            <w:pPr>
              <w:pStyle w:val="11"/>
              <w:widowControl/>
              <w:numPr>
                <w:ilvl w:val="0"/>
                <w:numId w:val="3"/>
              </w:numPr>
              <w:snapToGrid w:val="0"/>
              <w:spacing w:line="360" w:lineRule="auto"/>
              <w:ind w:left="284" w:hanging="284" w:firstLineChars="0"/>
              <w:jc w:val="left"/>
              <w:rPr>
                <w:rFonts w:ascii="彩虹粗仿宋" w:eastAsia="彩虹粗仿宋"/>
                <w:sz w:val="24"/>
                <w:szCs w:val="30"/>
              </w:rPr>
            </w:pPr>
            <w:r>
              <w:rPr>
                <w:rFonts w:hint="eastAsia" w:ascii="彩虹粗仿宋" w:eastAsia="彩虹粗仿宋"/>
                <w:sz w:val="24"/>
                <w:szCs w:val="30"/>
              </w:rPr>
              <w:t>善于处理流程性事务，具备良好的学习能力、沟通能力，团队协作能力。</w:t>
            </w:r>
          </w:p>
        </w:tc>
      </w:tr>
    </w:tbl>
    <w:p>
      <w:pPr>
        <w:numPr>
          <w:ilvl w:val="0"/>
          <w:numId w:val="0"/>
        </w:numPr>
        <w:adjustRightInd w:val="0"/>
        <w:snapToGrid w:val="0"/>
        <w:spacing w:line="360" w:lineRule="auto"/>
        <w:ind w:left="420" w:firstLine="0" w:firstLineChars="0"/>
        <w:rPr>
          <w:rFonts w:ascii="彩虹粗仿宋" w:hAnsi="仿宋" w:eastAsia="彩虹粗仿宋"/>
          <w:sz w:val="32"/>
          <w:szCs w:val="30"/>
        </w:rPr>
      </w:pPr>
    </w:p>
    <w:p>
      <w:pPr>
        <w:numPr>
          <w:ilvl w:val="0"/>
          <w:numId w:val="0"/>
        </w:numPr>
        <w:adjustRightInd w:val="0"/>
        <w:snapToGrid w:val="0"/>
        <w:spacing w:line="360" w:lineRule="auto"/>
        <w:ind w:left="420" w:firstLine="0" w:firstLineChars="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highlight w:val="lightGray"/>
        </w:rPr>
        <w:t>五、</w:t>
      </w:r>
      <w:r>
        <w:rPr>
          <w:rFonts w:hint="eastAsia" w:ascii="彩虹粗仿宋" w:hAnsi="宋体" w:eastAsia="彩虹粗仿宋" w:cs="Times New Roman"/>
          <w:b/>
          <w:snapToGrid w:val="0"/>
          <w:kern w:val="0"/>
          <w:sz w:val="32"/>
          <w:szCs w:val="32"/>
        </w:rPr>
        <w:t>服务质量要求</w:t>
      </w:r>
      <w:r>
        <w:rPr>
          <w:rFonts w:ascii="彩虹粗仿宋" w:hAnsi="宋体" w:eastAsia="彩虹粗仿宋" w:cs="Times New Roman"/>
          <w:b/>
          <w:snapToGrid w:val="0"/>
          <w:kern w:val="0"/>
          <w:sz w:val="32"/>
          <w:szCs w:val="32"/>
        </w:rPr>
        <w:t xml:space="preserve"> </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外包服务供应商需要针对本项目提供符合要求的外包服务团队，保证及时满足我司项目期间提出的服务人员进场、调人、调岗的需求。</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外包服务供应商提供的服务人员必须是与供应商已签订劳动合同的合法雇员，在项目服务期限内保持稳定的劳动关系。</w:t>
      </w:r>
      <w:r>
        <w:rPr>
          <w:rFonts w:hint="eastAsia" w:ascii="彩虹粗仿宋" w:hAnsi="宋体" w:eastAsia="彩虹粗仿宋"/>
          <w:sz w:val="32"/>
          <w:szCs w:val="32"/>
        </w:rPr>
        <w:t>供应商确保服务人员工资、奖金并根据国家规定缴纳相关的社会保险福利等的按时按量发放，保障服务人员的合法权益。供应商与拟派人员发生任何劳资纠纷，由供应商自行解决，我司不承担任何责任。供应商不得以我司名义进行用工管理或开展生产经营活动。若因违反本条规定，造成的一切后果由供应商承担全部责任。</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外包服务供应商需配合保持项目组中成员的稳定性和工作连续性，确保业务的顺利开展。未经我司书面同意，外包服务供应商不得在项目服务期间变更服务人员。</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snapToGrid w:val="0"/>
          <w:kern w:val="0"/>
          <w:sz w:val="32"/>
          <w:szCs w:val="32"/>
        </w:rPr>
        <w:t>如建信信托认为服务团队中的成员无法达到公司要求的服务规范的，公司应在接到建信信托意见后及时调整更换符合建信信托要求的服务人员。</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人员在项目期间需遵守我司各项管理规章制度及业务操作规程，外包供应商需配合我司对驻场人员进行培训，按照我司要求完成指定的工作，达到我司工作要求。对于外包人员未按公司规范执行，造成风险事件或其他不良后果的，除按照协议约定，对造成损失承担赔偿责任外，还应基于事件严重程度对服务费进行扣减。</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外包服务人员在项目期间需</w:t>
      </w:r>
      <w:r>
        <w:rPr>
          <w:rFonts w:ascii="彩虹粗仿宋" w:hAnsi="宋体" w:eastAsia="彩虹粗仿宋" w:cs="Times New Roman"/>
          <w:snapToGrid w:val="0"/>
          <w:kern w:val="0"/>
          <w:sz w:val="32"/>
          <w:szCs w:val="32"/>
        </w:rPr>
        <w:t>签署保密协议，加强信息保密管理，在协议中明确约定保密义务，要求违约方应就造成的损失承担赔偿责任</w:t>
      </w:r>
      <w:r>
        <w:rPr>
          <w:rFonts w:hint="eastAsia" w:ascii="彩虹粗仿宋" w:hAnsi="宋体" w:eastAsia="彩虹粗仿宋" w:cs="Times New Roman"/>
          <w:snapToGrid w:val="0"/>
          <w:kern w:val="0"/>
          <w:sz w:val="32"/>
          <w:szCs w:val="32"/>
        </w:rPr>
        <w:t>。</w:t>
      </w:r>
    </w:p>
    <w:p>
      <w:pPr>
        <w:numPr>
          <w:ilvl w:val="0"/>
          <w:numId w:val="4"/>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外包服务供应商根据项目运营的实际情况，制定突发事件应急管理预案。增强现场紧急事件反应能力，加强项目风险防控，使项目实施能够适应不断变化的内外环境，确保承包服务事项正常开展。</w:t>
      </w:r>
    </w:p>
    <w:p>
      <w:pPr>
        <w:numPr>
          <w:ilvl w:val="0"/>
          <w:numId w:val="0"/>
        </w:numPr>
        <w:adjustRightInd w:val="0"/>
        <w:snapToGrid w:val="0"/>
        <w:spacing w:line="360" w:lineRule="auto"/>
        <w:ind w:left="640" w:firstLine="0" w:firstLineChars="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lightGray"/>
        </w:rPr>
        <w:t>六、</w:t>
      </w:r>
      <w:r>
        <w:rPr>
          <w:rFonts w:hint="eastAsia" w:ascii="彩虹粗仿宋" w:hAnsi="宋体" w:eastAsia="彩虹粗仿宋" w:cs="Times New Roman"/>
          <w:b/>
          <w:snapToGrid w:val="0"/>
          <w:kern w:val="0"/>
          <w:sz w:val="32"/>
          <w:szCs w:val="32"/>
        </w:rPr>
        <w:t>服务数量要求</w:t>
      </w:r>
    </w:p>
    <w:p>
      <w:pPr>
        <w:adjustRightInd w:val="0"/>
        <w:snapToGrid w:val="0"/>
        <w:spacing w:line="360" w:lineRule="auto"/>
        <w:ind w:left="64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服务期限</w:t>
      </w: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年，预估工作量如下：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0"/>
        <w:gridCol w:w="150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300"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b/>
                <w:bCs/>
                <w:snapToGrid w:val="0"/>
                <w:kern w:val="0"/>
                <w:sz w:val="28"/>
                <w:szCs w:val="28"/>
              </w:rPr>
            </w:pPr>
            <w:r>
              <w:rPr>
                <w:rFonts w:hint="eastAsia" w:ascii="彩虹粗仿宋" w:hAnsi="宋体" w:eastAsia="彩虹粗仿宋" w:cs="Times New Roman"/>
                <w:b/>
                <w:bCs/>
                <w:snapToGrid w:val="0"/>
                <w:kern w:val="0"/>
                <w:sz w:val="28"/>
                <w:szCs w:val="28"/>
              </w:rPr>
              <w:t>外包服务类型</w:t>
            </w:r>
          </w:p>
        </w:tc>
        <w:tc>
          <w:tcPr>
            <w:tcW w:w="90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b/>
                <w:bCs/>
                <w:snapToGrid w:val="0"/>
                <w:kern w:val="0"/>
                <w:sz w:val="28"/>
                <w:szCs w:val="28"/>
              </w:rPr>
            </w:pPr>
            <w:r>
              <w:rPr>
                <w:rFonts w:hint="eastAsia" w:ascii="彩虹粗仿宋" w:hAnsi="宋体" w:eastAsia="彩虹粗仿宋" w:cs="Times New Roman"/>
                <w:b/>
                <w:bCs/>
                <w:snapToGrid w:val="0"/>
                <w:kern w:val="0"/>
                <w:sz w:val="28"/>
                <w:szCs w:val="28"/>
              </w:rPr>
              <w:t>数量</w:t>
            </w:r>
          </w:p>
          <w:p>
            <w:pPr>
              <w:numPr>
                <w:ilvl w:val="255"/>
                <w:numId w:val="0"/>
              </w:numPr>
              <w:adjustRightInd w:val="0"/>
              <w:snapToGrid w:val="0"/>
              <w:spacing w:line="360" w:lineRule="auto"/>
              <w:jc w:val="center"/>
              <w:rPr>
                <w:rFonts w:ascii="彩虹粗仿宋" w:hAnsi="宋体" w:eastAsia="彩虹粗仿宋" w:cs="Times New Roman"/>
                <w:b/>
                <w:bCs/>
                <w:snapToGrid w:val="0"/>
                <w:kern w:val="0"/>
                <w:sz w:val="28"/>
                <w:szCs w:val="28"/>
              </w:rPr>
            </w:pPr>
            <w:r>
              <w:rPr>
                <w:rFonts w:hint="eastAsia" w:ascii="彩虹粗仿宋" w:hAnsi="宋体" w:eastAsia="彩虹粗仿宋" w:cs="Times New Roman"/>
                <w:b/>
                <w:bCs/>
                <w:snapToGrid w:val="0"/>
                <w:kern w:val="0"/>
                <w:sz w:val="28"/>
                <w:szCs w:val="28"/>
              </w:rPr>
              <w:t>（人月）</w:t>
            </w:r>
          </w:p>
        </w:tc>
        <w:tc>
          <w:tcPr>
            <w:tcW w:w="79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b/>
                <w:bCs/>
                <w:snapToGrid w:val="0"/>
                <w:kern w:val="0"/>
                <w:sz w:val="28"/>
                <w:szCs w:val="28"/>
              </w:rPr>
            </w:pPr>
            <w:r>
              <w:rPr>
                <w:rFonts w:hint="eastAsia" w:ascii="彩虹粗仿宋" w:hAnsi="宋体" w:eastAsia="彩虹粗仿宋" w:cs="Times New Roman"/>
                <w:b/>
                <w:bCs/>
                <w:snapToGrid w:val="0"/>
                <w:kern w:val="0"/>
                <w:sz w:val="28"/>
                <w:szCs w:val="28"/>
              </w:rPr>
              <w:t>数量</w:t>
            </w:r>
          </w:p>
          <w:p>
            <w:pPr>
              <w:numPr>
                <w:ilvl w:val="255"/>
                <w:numId w:val="0"/>
              </w:numPr>
              <w:adjustRightInd w:val="0"/>
              <w:snapToGrid w:val="0"/>
              <w:spacing w:line="360" w:lineRule="auto"/>
              <w:jc w:val="center"/>
              <w:rPr>
                <w:rFonts w:ascii="彩虹粗仿宋" w:hAnsi="宋体" w:eastAsia="彩虹粗仿宋" w:cs="Times New Roman"/>
                <w:b/>
                <w:bCs/>
                <w:snapToGrid w:val="0"/>
                <w:kern w:val="0"/>
                <w:sz w:val="28"/>
                <w:szCs w:val="28"/>
              </w:rPr>
            </w:pPr>
            <w:r>
              <w:rPr>
                <w:rFonts w:hint="eastAsia" w:ascii="彩虹粗仿宋" w:hAnsi="宋体" w:eastAsia="彩虹粗仿宋" w:cs="Times New Roman"/>
                <w:b/>
                <w:bCs/>
                <w:snapToGrid w:val="0"/>
                <w:kern w:val="0"/>
                <w:sz w:val="28"/>
                <w:szCs w:val="28"/>
              </w:rPr>
              <w:t>（人天）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300"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账户运营外包服务（中级）</w:t>
            </w:r>
          </w:p>
        </w:tc>
        <w:tc>
          <w:tcPr>
            <w:tcW w:w="90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hint="default" w:ascii="彩虹粗仿宋" w:hAnsi="宋体" w:eastAsia="彩虹粗仿宋" w:cs="Times New Roman"/>
                <w:snapToGrid w:val="0"/>
                <w:kern w:val="0"/>
                <w:sz w:val="24"/>
                <w:szCs w:val="24"/>
                <w:lang w:val="en-US" w:eastAsia="zh-CN"/>
              </w:rPr>
            </w:pPr>
            <w:r>
              <w:rPr>
                <w:rFonts w:hint="eastAsia" w:ascii="彩虹粗仿宋" w:hAnsi="宋体" w:eastAsia="彩虹粗仿宋" w:cs="Times New Roman"/>
                <w:snapToGrid w:val="0"/>
                <w:kern w:val="0"/>
                <w:sz w:val="24"/>
                <w:szCs w:val="24"/>
                <w:lang w:val="en-US" w:eastAsia="zh-CN"/>
              </w:rPr>
              <w:t>12</w:t>
            </w:r>
          </w:p>
        </w:tc>
        <w:tc>
          <w:tcPr>
            <w:tcW w:w="79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300"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账户运营外包服务（初级）</w:t>
            </w:r>
          </w:p>
        </w:tc>
        <w:tc>
          <w:tcPr>
            <w:tcW w:w="90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hint="default" w:ascii="彩虹粗仿宋" w:hAnsi="宋体" w:eastAsia="彩虹粗仿宋" w:cs="Times New Roman"/>
                <w:snapToGrid w:val="0"/>
                <w:kern w:val="0"/>
                <w:sz w:val="24"/>
                <w:szCs w:val="24"/>
                <w:lang w:val="en-US" w:eastAsia="zh-CN"/>
              </w:rPr>
            </w:pPr>
            <w:r>
              <w:rPr>
                <w:rFonts w:hint="eastAsia" w:ascii="彩虹粗仿宋" w:hAnsi="宋体" w:eastAsia="彩虹粗仿宋" w:cs="Times New Roman"/>
                <w:snapToGrid w:val="0"/>
                <w:kern w:val="0"/>
                <w:sz w:val="24"/>
                <w:szCs w:val="24"/>
                <w:lang w:val="en-US" w:eastAsia="zh-CN"/>
              </w:rPr>
              <w:t>48</w:t>
            </w:r>
          </w:p>
        </w:tc>
        <w:tc>
          <w:tcPr>
            <w:tcW w:w="79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300"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账户运营外包服务（临时）</w:t>
            </w:r>
          </w:p>
        </w:tc>
        <w:tc>
          <w:tcPr>
            <w:tcW w:w="90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w:t>
            </w:r>
          </w:p>
        </w:tc>
        <w:tc>
          <w:tcPr>
            <w:tcW w:w="795" w:type="pct"/>
            <w:shd w:val="clear" w:color="auto" w:fill="auto"/>
            <w:noWrap/>
            <w:tcMar>
              <w:top w:w="15" w:type="dxa"/>
              <w:left w:w="15" w:type="dxa"/>
              <w:right w:w="15" w:type="dxa"/>
            </w:tcMar>
            <w:vAlign w:val="center"/>
          </w:tcPr>
          <w:p>
            <w:pPr>
              <w:numPr>
                <w:ilvl w:val="255"/>
                <w:numId w:val="0"/>
              </w:numPr>
              <w:adjustRightInd w:val="0"/>
              <w:snapToGrid w:val="0"/>
              <w:spacing w:line="360" w:lineRule="auto"/>
              <w:jc w:val="center"/>
              <w:rPr>
                <w:rFonts w:ascii="彩虹粗仿宋" w:hAnsi="宋体" w:eastAsia="彩虹粗仿宋" w:cs="Times New Roman"/>
                <w:snapToGrid w:val="0"/>
                <w:kern w:val="0"/>
                <w:sz w:val="24"/>
                <w:szCs w:val="24"/>
              </w:rPr>
            </w:pPr>
            <w:r>
              <w:rPr>
                <w:rFonts w:ascii="彩虹粗仿宋" w:hAnsi="宋体" w:eastAsia="彩虹粗仿宋" w:cs="Times New Roman"/>
                <w:snapToGrid w:val="0"/>
                <w:kern w:val="0"/>
                <w:sz w:val="24"/>
                <w:szCs w:val="24"/>
              </w:rPr>
              <w:t>30</w:t>
            </w:r>
          </w:p>
        </w:tc>
      </w:tr>
    </w:tbl>
    <w:p>
      <w:pPr>
        <w:numPr>
          <w:ilvl w:val="255"/>
          <w:numId w:val="0"/>
        </w:numPr>
        <w:adjustRightInd w:val="0"/>
        <w:snapToGrid w:val="0"/>
        <w:spacing w:line="360" w:lineRule="auto"/>
        <w:rPr>
          <w:rFonts w:ascii="彩虹粗仿宋" w:hAnsi="宋体" w:eastAsia="彩虹粗仿宋" w:cs="Times New Roman"/>
          <w:snapToGrid w:val="0"/>
          <w:kern w:val="0"/>
          <w:sz w:val="32"/>
          <w:szCs w:val="32"/>
        </w:rPr>
      </w:pPr>
    </w:p>
    <w:p>
      <w:pPr>
        <w:pStyle w:val="11"/>
        <w:numPr>
          <w:ilvl w:val="0"/>
          <w:numId w:val="5"/>
        </w:numPr>
        <w:adjustRightInd w:val="0"/>
        <w:snapToGrid w:val="0"/>
        <w:spacing w:line="360" w:lineRule="auto"/>
        <w:ind w:firstLine="420"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服务供应安排</w:t>
      </w:r>
    </w:p>
    <w:p>
      <w:pPr>
        <w:numPr>
          <w:ilvl w:val="0"/>
          <w:numId w:val="6"/>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供应商应安排人员为本项目日常工作长期全职驻场服务，如有临时服务需求，供应商应及时配合派驻符合要求的临时服务人员到场。服务期间不得为服务人员安排本项目以外的其他工作。工作时间9:00-1</w:t>
      </w:r>
      <w:r>
        <w:rPr>
          <w:rFonts w:ascii="彩虹粗仿宋" w:hAnsi="宋体" w:eastAsia="彩虹粗仿宋" w:cs="Times New Roman"/>
          <w:snapToGrid w:val="0"/>
          <w:kern w:val="0"/>
          <w:sz w:val="32"/>
          <w:szCs w:val="32"/>
        </w:rPr>
        <w:t>7</w:t>
      </w:r>
      <w:r>
        <w:rPr>
          <w:rFonts w:hint="eastAsia" w:ascii="彩虹粗仿宋" w:hAnsi="宋体" w:eastAsia="彩虹粗仿宋" w:cs="Times New Roman"/>
          <w:snapToGrid w:val="0"/>
          <w:kern w:val="0"/>
          <w:sz w:val="32"/>
          <w:szCs w:val="32"/>
        </w:rPr>
        <w:t>:</w:t>
      </w:r>
      <w:r>
        <w:rPr>
          <w:rFonts w:ascii="彩虹粗仿宋" w:hAnsi="宋体" w:eastAsia="彩虹粗仿宋" w:cs="Times New Roman"/>
          <w:snapToGrid w:val="0"/>
          <w:kern w:val="0"/>
          <w:sz w:val="32"/>
          <w:szCs w:val="32"/>
        </w:rPr>
        <w:t>3</w:t>
      </w:r>
      <w:r>
        <w:rPr>
          <w:rFonts w:hint="eastAsia" w:ascii="彩虹粗仿宋" w:hAnsi="宋体" w:eastAsia="彩虹粗仿宋" w:cs="Times New Roman"/>
          <w:snapToGrid w:val="0"/>
          <w:kern w:val="0"/>
          <w:sz w:val="32"/>
          <w:szCs w:val="32"/>
        </w:rPr>
        <w:t>0，按国家法定节假日休息。</w:t>
      </w:r>
    </w:p>
    <w:p>
      <w:pPr>
        <w:numPr>
          <w:ilvl w:val="0"/>
          <w:numId w:val="6"/>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工作地点为合肥，办公场所及必要的办公设备和用品由建信信托提供。</w:t>
      </w:r>
    </w:p>
    <w:p>
      <w:pPr>
        <w:widowControl/>
        <w:numPr>
          <w:ilvl w:val="0"/>
          <w:numId w:val="6"/>
        </w:numPr>
        <w:adjustRightInd w:val="0"/>
        <w:snapToGrid w:val="0"/>
        <w:spacing w:line="360" w:lineRule="auto"/>
        <w:ind w:firstLine="640"/>
        <w:rPr>
          <w:rFonts w:ascii="彩虹粗仿宋" w:hAnsi="Times New Roman" w:eastAsia="彩虹粗仿宋" w:cs="Times New Roman"/>
          <w:sz w:val="32"/>
          <w:szCs w:val="32"/>
        </w:rPr>
      </w:pPr>
      <w:r>
        <w:rPr>
          <w:rFonts w:hint="eastAsia" w:ascii="Times New Roman" w:hAnsi="Times New Roman" w:eastAsia="彩虹粗仿宋" w:cs="Times New Roman"/>
          <w:snapToGrid w:val="0"/>
          <w:kern w:val="0"/>
          <w:sz w:val="32"/>
          <w:szCs w:val="32"/>
        </w:rPr>
        <w:t>服务商</w:t>
      </w:r>
      <w:r>
        <w:rPr>
          <w:rFonts w:ascii="Times New Roman" w:hAnsi="Times New Roman" w:eastAsia="彩虹粗仿宋" w:cs="Times New Roman"/>
          <w:snapToGrid w:val="0"/>
          <w:kern w:val="0"/>
          <w:sz w:val="32"/>
          <w:szCs w:val="32"/>
        </w:rPr>
        <w:t>人员应在常规办公时间内完成服务工作</w:t>
      </w:r>
      <w:r>
        <w:rPr>
          <w:rFonts w:hint="eastAsia" w:ascii="Times New Roman" w:hAnsi="Times New Roman" w:eastAsia="彩虹粗仿宋" w:cs="Times New Roman"/>
          <w:snapToGrid w:val="0"/>
          <w:kern w:val="0"/>
          <w:sz w:val="32"/>
          <w:szCs w:val="32"/>
        </w:rPr>
        <w:t>，如有</w:t>
      </w:r>
      <w:r>
        <w:rPr>
          <w:rFonts w:hint="eastAsia" w:ascii="彩虹粗仿宋" w:hAnsi="Times New Roman" w:eastAsia="彩虹粗仿宋" w:cs="Times New Roman"/>
          <w:sz w:val="32"/>
          <w:szCs w:val="32"/>
        </w:rPr>
        <w:t>加班产生的工作量及其他相关费用应包含在报价中，我司不再额外支付费用；如因我司要求产生</w:t>
      </w:r>
      <w:r>
        <w:rPr>
          <w:rFonts w:ascii="彩虹粗仿宋" w:hAnsi="Times New Roman" w:eastAsia="彩虹粗仿宋" w:cs="Times New Roman"/>
          <w:sz w:val="32"/>
          <w:szCs w:val="32"/>
        </w:rPr>
        <w:t>差旅费</w:t>
      </w:r>
      <w:r>
        <w:rPr>
          <w:rFonts w:hint="eastAsia" w:ascii="彩虹粗仿宋" w:hAnsi="Times New Roman" w:eastAsia="彩虹粗仿宋" w:cs="Times New Roman"/>
          <w:sz w:val="32"/>
          <w:szCs w:val="32"/>
        </w:rPr>
        <w:t>，按照</w:t>
      </w:r>
      <w:r>
        <w:rPr>
          <w:rFonts w:ascii="彩虹粗仿宋" w:hAnsi="Times New Roman" w:eastAsia="彩虹粗仿宋" w:cs="Times New Roman"/>
          <w:sz w:val="32"/>
          <w:szCs w:val="32"/>
        </w:rPr>
        <w:t>实际情况，根据我司标准据实结算。</w:t>
      </w:r>
    </w:p>
    <w:p>
      <w:pPr>
        <w:numPr>
          <w:ilvl w:val="0"/>
          <w:numId w:val="6"/>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本次采购外包服务期限为合同约定之日起</w:t>
      </w: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年。</w:t>
      </w:r>
    </w:p>
    <w:p>
      <w:pPr>
        <w:numPr>
          <w:ilvl w:val="0"/>
          <w:numId w:val="0"/>
        </w:numPr>
        <w:tabs>
          <w:tab w:val="left" w:pos="312"/>
        </w:tabs>
        <w:adjustRightInd w:val="0"/>
        <w:snapToGrid w:val="0"/>
        <w:spacing w:line="360" w:lineRule="auto"/>
        <w:ind w:left="640" w:firstLine="0" w:firstLineChars="0"/>
        <w:rPr>
          <w:rFonts w:hint="eastAsia" w:ascii="彩虹粗仿宋" w:hAnsi="宋体" w:eastAsia="彩虹粗仿宋" w:cs="Times New Roman"/>
          <w:snapToGrid w:val="0"/>
          <w:kern w:val="0"/>
          <w:sz w:val="32"/>
          <w:szCs w:val="32"/>
        </w:rPr>
      </w:pPr>
    </w:p>
    <w:p>
      <w:pPr>
        <w:numPr>
          <w:ilvl w:val="0"/>
          <w:numId w:val="0"/>
        </w:numPr>
        <w:adjustRightInd w:val="0"/>
        <w:snapToGrid w:val="0"/>
        <w:spacing w:line="360" w:lineRule="auto"/>
        <w:ind w:left="643" w:firstLine="0" w:firstLineChars="0"/>
        <w:rPr>
          <w:rFonts w:ascii="彩虹粗仿宋" w:hAnsi="宋体" w:eastAsia="彩虹粗仿宋" w:cs="Times New Roman"/>
          <w:snapToGrid w:val="0"/>
          <w:kern w:val="0"/>
          <w:sz w:val="32"/>
          <w:szCs w:val="32"/>
        </w:rPr>
      </w:pPr>
      <w:r>
        <w:rPr>
          <w:rFonts w:ascii="彩虹粗仿宋" w:hAnsi="宋体" w:eastAsia="彩虹粗仿宋" w:cs="Times New Roman"/>
          <w:b/>
          <w:snapToGrid w:val="0"/>
          <w:kern w:val="0"/>
          <w:sz w:val="32"/>
          <w:szCs w:val="32"/>
        </w:rPr>
        <w:t>八、</w:t>
      </w:r>
      <w:r>
        <w:rPr>
          <w:rFonts w:hint="eastAsia" w:ascii="彩虹粗仿宋" w:hAnsi="宋体" w:eastAsia="彩虹粗仿宋" w:cs="Times New Roman"/>
          <w:b/>
          <w:snapToGrid w:val="0"/>
          <w:kern w:val="0"/>
          <w:sz w:val="32"/>
          <w:szCs w:val="32"/>
        </w:rPr>
        <w:t>款项支付要求</w:t>
      </w:r>
    </w:p>
    <w:p>
      <w:pPr>
        <w:widowControl/>
        <w:numPr>
          <w:ilvl w:val="0"/>
          <w:numId w:val="7"/>
        </w:numPr>
        <w:adjustRightInd w:val="0"/>
        <w:snapToGrid w:val="0"/>
        <w:spacing w:line="360" w:lineRule="auto"/>
        <w:ind w:firstLine="640" w:firstLineChars="200"/>
        <w:rPr>
          <w:rFonts w:ascii="彩虹粗仿宋" w:eastAsia="彩虹粗仿宋"/>
          <w:sz w:val="32"/>
          <w:szCs w:val="32"/>
        </w:rPr>
      </w:pPr>
      <w:r>
        <w:rPr>
          <w:rFonts w:hint="eastAsia" w:ascii="彩虹粗仿宋" w:hAnsi="宋体" w:eastAsia="彩虹粗仿宋" w:cs="Times New Roman"/>
          <w:snapToGrid w:val="0"/>
          <w:kern w:val="0"/>
          <w:sz w:val="32"/>
          <w:szCs w:val="32"/>
        </w:rPr>
        <w:t>结算方式：</w:t>
      </w:r>
      <w:r>
        <w:rPr>
          <w:rFonts w:ascii="彩虹粗仿宋" w:hAnsi="宋体" w:eastAsia="彩虹粗仿宋" w:cs="Times New Roman"/>
          <w:snapToGrid w:val="0"/>
          <w:kern w:val="0"/>
          <w:sz w:val="32"/>
          <w:szCs w:val="32"/>
        </w:rPr>
        <w:t>按季度结算</w:t>
      </w:r>
      <w:r>
        <w:rPr>
          <w:rFonts w:hint="eastAsia" w:ascii="彩虹粗仿宋" w:hAnsi="宋体" w:eastAsia="彩虹粗仿宋" w:cs="Times New Roman"/>
          <w:snapToGrid w:val="0"/>
          <w:kern w:val="0"/>
          <w:sz w:val="32"/>
          <w:szCs w:val="32"/>
        </w:rPr>
        <w:t>。服务期间，我司每季对项目工作开展情况进行考核评价，出具外包项目供应商评估报告，根据季度考核结果，按在岗服务人数、服务天数等综合情况支付服务费用。服务费用按照“先服务，后付款”的原则，每季初结算支付上季度服务费。对于外包人员未按公司操作规范执行，造成风险事件的，除按照协议约定，对造成损失承担赔偿责任外，还应基于风险事件严重程度对服务费进行扣减。</w:t>
      </w:r>
    </w:p>
    <w:p>
      <w:pPr>
        <w:widowControl/>
        <w:numPr>
          <w:ilvl w:val="0"/>
          <w:numId w:val="7"/>
        </w:numPr>
        <w:adjustRightInd w:val="0"/>
        <w:snapToGrid w:val="0"/>
        <w:spacing w:line="360" w:lineRule="auto"/>
        <w:ind w:firstLine="640" w:firstLineChars="200"/>
        <w:rPr>
          <w:rFonts w:ascii="彩虹粗仿宋" w:hAnsi="Times New Roman" w:eastAsia="彩虹粗仿宋" w:cs="Times New Roman"/>
          <w:sz w:val="32"/>
          <w:szCs w:val="32"/>
        </w:rPr>
      </w:pPr>
      <w:r>
        <w:rPr>
          <w:rFonts w:hint="eastAsia" w:ascii="彩虹粗仿宋" w:eastAsia="彩虹粗仿宋"/>
          <w:sz w:val="32"/>
          <w:szCs w:val="32"/>
        </w:rPr>
        <w:t>付款方式为对公汇款。</w:t>
      </w:r>
    </w:p>
    <w:p>
      <w:pPr>
        <w:pStyle w:val="11"/>
        <w:numPr>
          <w:ilvl w:val="0"/>
          <w:numId w:val="8"/>
        </w:numPr>
        <w:adjustRightInd w:val="0"/>
        <w:snapToGrid w:val="0"/>
        <w:spacing w:line="360" w:lineRule="auto"/>
        <w:ind w:firstLine="420"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售后服务要求。</w:t>
      </w:r>
    </w:p>
    <w:p>
      <w:pPr>
        <w:numPr>
          <w:ilvl w:val="255"/>
          <w:numId w:val="0"/>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所有本项目业务资料，外包供应商承担永久保密义务。对服务期间知悉的商业数据、财务信息永久保密，不得泄露、告知、交付或转移给我司（包括我司关系企业）以外的第三者，或为自己或第三方使用。</w:t>
      </w:r>
    </w:p>
    <w:p>
      <w:pPr>
        <w:numPr>
          <w:ilvl w:val="255"/>
          <w:numId w:val="0"/>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合约期间发生的业务如有遗留问题，需供应商继续协助解决，服务商人员离开项目后，依旧保留对服务期间业务的保密义务。</w:t>
      </w:r>
    </w:p>
    <w:p>
      <w:pPr>
        <w:numPr>
          <w:ilvl w:val="255"/>
          <w:numId w:val="0"/>
        </w:num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合同期结束后如发生变更供应商的情况，需配合项目要求，与新的外包团队在一个月内完成外包工作交接，保证交接效果，以及外包事项稳定、连续运行。</w:t>
      </w:r>
    </w:p>
    <w:p>
      <w:pPr>
        <w:adjustRightInd w:val="0"/>
        <w:snapToGrid w:val="0"/>
        <w:spacing w:line="360" w:lineRule="auto"/>
        <w:ind w:firstLine="643" w:firstLineChars="200"/>
        <w:rPr>
          <w:rFonts w:ascii="彩虹粗仿宋" w:hAnsi="宋体" w:eastAsia="彩虹粗仿宋" w:cs="Times New Roman"/>
          <w:b/>
          <w:snapToGrid w:val="0"/>
          <w:kern w:val="0"/>
          <w:sz w:val="32"/>
          <w:szCs w:val="32"/>
        </w:rPr>
      </w:pPr>
      <w:r>
        <w:rPr>
          <w:rFonts w:ascii="彩虹粗仿宋" w:hAnsi="宋体" w:eastAsia="彩虹粗仿宋" w:cs="Times New Roman"/>
          <w:b/>
          <w:snapToGrid w:val="0"/>
          <w:kern w:val="0"/>
          <w:sz w:val="32"/>
          <w:szCs w:val="32"/>
        </w:rPr>
        <w:t>十</w:t>
      </w:r>
      <w:r>
        <w:rPr>
          <w:rFonts w:hint="eastAsia" w:ascii="彩虹粗仿宋" w:hAnsi="宋体" w:eastAsia="彩虹粗仿宋" w:cs="Times New Roman"/>
          <w:b/>
          <w:snapToGrid w:val="0"/>
          <w:kern w:val="0"/>
          <w:sz w:val="32"/>
          <w:szCs w:val="32"/>
        </w:rPr>
        <w:t>、报价要求。</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 xml:space="preserve">1. 按照账户运营各级别外包人员的人月单价，以及临时人员的人天单价进行报价， </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2</w:t>
      </w:r>
      <w:r>
        <w:rPr>
          <w:rFonts w:hint="eastAsia" w:ascii="彩虹粗仿宋" w:hAnsi="宋体" w:eastAsia="彩虹粗仿宋" w:cs="Times New Roman"/>
          <w:snapToGrid w:val="0"/>
          <w:kern w:val="0"/>
          <w:sz w:val="32"/>
          <w:szCs w:val="32"/>
        </w:rPr>
        <w:t>. 对</w:t>
      </w: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年合同期完整费用进行报价。</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供应商自行承担参加本次采购产生的所有费用。</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C777"/>
    <w:multiLevelType w:val="singleLevel"/>
    <w:tmpl w:val="859EC777"/>
    <w:lvl w:ilvl="0" w:tentative="0">
      <w:start w:val="1"/>
      <w:numFmt w:val="chineseCounting"/>
      <w:suff w:val="nothing"/>
      <w:lvlText w:val="%1、"/>
      <w:lvlJc w:val="left"/>
      <w:rPr>
        <w:rFonts w:hint="eastAsia"/>
      </w:rPr>
    </w:lvl>
  </w:abstractNum>
  <w:abstractNum w:abstractNumId="1">
    <w:nsid w:val="9DB59337"/>
    <w:multiLevelType w:val="singleLevel"/>
    <w:tmpl w:val="9DB59337"/>
    <w:lvl w:ilvl="0" w:tentative="0">
      <w:start w:val="1"/>
      <w:numFmt w:val="decimal"/>
      <w:suff w:val="space"/>
      <w:lvlText w:val="%1."/>
      <w:lvlJc w:val="left"/>
    </w:lvl>
  </w:abstractNum>
  <w:abstractNum w:abstractNumId="2">
    <w:nsid w:val="E53E5401"/>
    <w:multiLevelType w:val="singleLevel"/>
    <w:tmpl w:val="E53E5401"/>
    <w:lvl w:ilvl="0" w:tentative="0">
      <w:start w:val="1"/>
      <w:numFmt w:val="decimal"/>
      <w:lvlText w:val="%1."/>
      <w:lvlJc w:val="left"/>
      <w:pPr>
        <w:tabs>
          <w:tab w:val="left" w:pos="312"/>
        </w:tabs>
      </w:pPr>
    </w:lvl>
  </w:abstractNum>
  <w:abstractNum w:abstractNumId="3">
    <w:nsid w:val="FE482132"/>
    <w:multiLevelType w:val="singleLevel"/>
    <w:tmpl w:val="FE482132"/>
    <w:lvl w:ilvl="0" w:tentative="0">
      <w:start w:val="1"/>
      <w:numFmt w:val="decimal"/>
      <w:lvlText w:val="%1."/>
      <w:lvlJc w:val="left"/>
      <w:pPr>
        <w:tabs>
          <w:tab w:val="left" w:pos="312"/>
        </w:tabs>
      </w:pPr>
    </w:lvl>
  </w:abstractNum>
  <w:abstractNum w:abstractNumId="4">
    <w:nsid w:val="10B40F4F"/>
    <w:multiLevelType w:val="multilevel"/>
    <w:tmpl w:val="10B40F4F"/>
    <w:lvl w:ilvl="0" w:tentative="0">
      <w:start w:val="7"/>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313E56D5"/>
    <w:multiLevelType w:val="multilevel"/>
    <w:tmpl w:val="313E56D5"/>
    <w:lvl w:ilvl="0" w:tentative="0">
      <w:start w:val="9"/>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47636D37"/>
    <w:multiLevelType w:val="multilevel"/>
    <w:tmpl w:val="47636D3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E18A6B9"/>
    <w:multiLevelType w:val="singleLevel"/>
    <w:tmpl w:val="4E18A6B9"/>
    <w:lvl w:ilvl="0" w:tentative="0">
      <w:start w:val="1"/>
      <w:numFmt w:val="decimal"/>
      <w:lvlText w:val="%1."/>
      <w:lvlJc w:val="left"/>
      <w:pPr>
        <w:tabs>
          <w:tab w:val="left" w:pos="312"/>
        </w:tabs>
      </w:p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39"/>
    <w:rsid w:val="00000B70"/>
    <w:rsid w:val="000640DB"/>
    <w:rsid w:val="000A5315"/>
    <w:rsid w:val="001E1B6D"/>
    <w:rsid w:val="002F79EB"/>
    <w:rsid w:val="00317624"/>
    <w:rsid w:val="004668F5"/>
    <w:rsid w:val="004B38EC"/>
    <w:rsid w:val="004F221C"/>
    <w:rsid w:val="00533C3E"/>
    <w:rsid w:val="00591085"/>
    <w:rsid w:val="005E7EB5"/>
    <w:rsid w:val="0075624F"/>
    <w:rsid w:val="0080445E"/>
    <w:rsid w:val="009D2436"/>
    <w:rsid w:val="009E2862"/>
    <w:rsid w:val="00A002CB"/>
    <w:rsid w:val="00A450FF"/>
    <w:rsid w:val="00A74BC9"/>
    <w:rsid w:val="00BA51AD"/>
    <w:rsid w:val="00CF7B3A"/>
    <w:rsid w:val="00D244BB"/>
    <w:rsid w:val="00DF1839"/>
    <w:rsid w:val="00E62392"/>
    <w:rsid w:val="00ED31E3"/>
    <w:rsid w:val="00F15BC3"/>
    <w:rsid w:val="00F47BFD"/>
    <w:rsid w:val="01BE7742"/>
    <w:rsid w:val="032E2E49"/>
    <w:rsid w:val="07B809A1"/>
    <w:rsid w:val="0BB55958"/>
    <w:rsid w:val="0C7F242A"/>
    <w:rsid w:val="170D276B"/>
    <w:rsid w:val="172C26F2"/>
    <w:rsid w:val="17A3383A"/>
    <w:rsid w:val="18FA66E4"/>
    <w:rsid w:val="1E4E1001"/>
    <w:rsid w:val="1E9A6500"/>
    <w:rsid w:val="1EFD3A90"/>
    <w:rsid w:val="20EC60F8"/>
    <w:rsid w:val="2413590D"/>
    <w:rsid w:val="24E123CC"/>
    <w:rsid w:val="24F75685"/>
    <w:rsid w:val="25843D52"/>
    <w:rsid w:val="25946EC3"/>
    <w:rsid w:val="259B6050"/>
    <w:rsid w:val="26E54041"/>
    <w:rsid w:val="27620547"/>
    <w:rsid w:val="28BC2DA4"/>
    <w:rsid w:val="29913E85"/>
    <w:rsid w:val="2A141D81"/>
    <w:rsid w:val="2AD5434D"/>
    <w:rsid w:val="2C6E1D06"/>
    <w:rsid w:val="2D2D64A4"/>
    <w:rsid w:val="2D5A4964"/>
    <w:rsid w:val="2DBA3D6D"/>
    <w:rsid w:val="2E256992"/>
    <w:rsid w:val="2EA72BB8"/>
    <w:rsid w:val="306B493A"/>
    <w:rsid w:val="32A76C61"/>
    <w:rsid w:val="32DD2F60"/>
    <w:rsid w:val="358B4DF6"/>
    <w:rsid w:val="35B02442"/>
    <w:rsid w:val="385D443F"/>
    <w:rsid w:val="397575C7"/>
    <w:rsid w:val="3ADF35E3"/>
    <w:rsid w:val="3B5419FC"/>
    <w:rsid w:val="3C4D3F32"/>
    <w:rsid w:val="3E907D61"/>
    <w:rsid w:val="3F3957D3"/>
    <w:rsid w:val="3F6A3022"/>
    <w:rsid w:val="42A14CCD"/>
    <w:rsid w:val="434B617A"/>
    <w:rsid w:val="43A27EB7"/>
    <w:rsid w:val="445C07F2"/>
    <w:rsid w:val="447C577B"/>
    <w:rsid w:val="45AB4119"/>
    <w:rsid w:val="46330C37"/>
    <w:rsid w:val="47062876"/>
    <w:rsid w:val="478434C7"/>
    <w:rsid w:val="48114FAA"/>
    <w:rsid w:val="4B305512"/>
    <w:rsid w:val="4C374EE0"/>
    <w:rsid w:val="4D261ABA"/>
    <w:rsid w:val="4DEC1CD7"/>
    <w:rsid w:val="50250E78"/>
    <w:rsid w:val="50E602C6"/>
    <w:rsid w:val="51505AA5"/>
    <w:rsid w:val="547C392C"/>
    <w:rsid w:val="565E12DC"/>
    <w:rsid w:val="56B95AC1"/>
    <w:rsid w:val="571B5017"/>
    <w:rsid w:val="588B5F34"/>
    <w:rsid w:val="5D426DA8"/>
    <w:rsid w:val="613478E4"/>
    <w:rsid w:val="64B264A9"/>
    <w:rsid w:val="653C4A26"/>
    <w:rsid w:val="6738142E"/>
    <w:rsid w:val="676F57F3"/>
    <w:rsid w:val="678836C8"/>
    <w:rsid w:val="678D5930"/>
    <w:rsid w:val="691D78A3"/>
    <w:rsid w:val="6BD72E69"/>
    <w:rsid w:val="6ED357B0"/>
    <w:rsid w:val="70CC0078"/>
    <w:rsid w:val="72CB4443"/>
    <w:rsid w:val="73DD2B86"/>
    <w:rsid w:val="75372280"/>
    <w:rsid w:val="75493FC1"/>
    <w:rsid w:val="75924819"/>
    <w:rsid w:val="75EA351A"/>
    <w:rsid w:val="76A32FEE"/>
    <w:rsid w:val="76A86A9A"/>
    <w:rsid w:val="77FA17AA"/>
    <w:rsid w:val="7A5D4C5E"/>
    <w:rsid w:val="7EEF021B"/>
    <w:rsid w:val="7F26279C"/>
    <w:rsid w:val="7F8A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table" w:customStyle="1" w:styleId="10">
    <w:name w:val="网格表 5 深色 - 着色 11"/>
    <w:basedOn w:val="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styleId="11">
    <w:name w:val="List Paragraph"/>
    <w:basedOn w:val="1"/>
    <w:link w:val="15"/>
    <w:qFormat/>
    <w:uiPriority w:val="34"/>
    <w:pPr>
      <w:ind w:firstLine="420" w:firstLineChars="200"/>
    </w:pPr>
    <w:rPr>
      <w:rFonts w:ascii="Calibri" w:hAnsi="Calibri" w:eastAsia="宋体" w:cs="Times New Roman"/>
    </w:rPr>
  </w:style>
  <w:style w:type="character" w:customStyle="1" w:styleId="12">
    <w:name w:val="批注框文本 Char"/>
    <w:basedOn w:val="8"/>
    <w:link w:val="3"/>
    <w:semiHidden/>
    <w:qFormat/>
    <w:uiPriority w:val="99"/>
    <w:rPr>
      <w:kern w:val="2"/>
      <w:sz w:val="18"/>
      <w:szCs w:val="18"/>
    </w:rPr>
  </w:style>
  <w:style w:type="character" w:customStyle="1" w:styleId="13">
    <w:name w:val="批注文字 Char"/>
    <w:basedOn w:val="8"/>
    <w:link w:val="2"/>
    <w:semiHidden/>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列出段落 Char"/>
    <w:link w:val="11"/>
    <w:qFormat/>
    <w:locked/>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443</Words>
  <Characters>2530</Characters>
  <Lines>21</Lines>
  <Paragraphs>5</Paragraphs>
  <TotalTime>2</TotalTime>
  <ScaleCrop>false</ScaleCrop>
  <LinksUpToDate>false</LinksUpToDate>
  <CharactersWithSpaces>2968</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2025-05-24T04:07:00Z</dcterms:created>
  <dc:creator>Apache POI</dc:creator>
  <cp:lastModifiedBy>聂晓慧</cp:lastModifiedBy>
  <dcterms:modified xsi:type="dcterms:W3CDTF">2025-05-27T10:17:44Z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