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EA" w:rsidRDefault="00BA01C5" w:rsidP="00BA01C5">
      <w:pPr>
        <w:jc w:val="center"/>
        <w:rPr>
          <w:rFonts w:ascii="彩虹小标宋" w:eastAsia="彩虹小标宋"/>
          <w:sz w:val="44"/>
          <w:szCs w:val="44"/>
        </w:rPr>
      </w:pPr>
      <w:bookmarkStart w:id="0" w:name="_GoBack"/>
      <w:bookmarkEnd w:id="0"/>
      <w:r w:rsidRPr="00BA01C5">
        <w:rPr>
          <w:rFonts w:ascii="彩虹小标宋" w:eastAsia="彩虹小标宋" w:hint="eastAsia"/>
          <w:sz w:val="44"/>
          <w:szCs w:val="44"/>
        </w:rPr>
        <w:t>项目中介服务批量采购（法律尽职调查及协议起草）采购需求</w:t>
      </w:r>
    </w:p>
    <w:p w:rsidR="00BA01C5" w:rsidRDefault="00BA01C5" w:rsidP="00BA01C5">
      <w:pPr>
        <w:jc w:val="center"/>
        <w:rPr>
          <w:rFonts w:ascii="彩虹小标宋" w:eastAsia="彩虹小标宋"/>
          <w:sz w:val="44"/>
          <w:szCs w:val="44"/>
        </w:rPr>
      </w:pPr>
    </w:p>
    <w:p w:rsidR="00BA01C5" w:rsidRPr="00BA01C5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 w:cs="Times New Roman"/>
          <w:snapToGrid w:val="0"/>
          <w:kern w:val="0"/>
          <w:sz w:val="32"/>
          <w:szCs w:val="32"/>
        </w:rPr>
      </w:pPr>
      <w:r w:rsidRPr="00BA01C5"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一、服务供应商要求</w:t>
      </w:r>
    </w:p>
    <w:p w:rsidR="00BA01C5" w:rsidRPr="000931E0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0931E0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1.参与本次选聘的中介机构必须具备国内及国际的合法资质。</w:t>
      </w:r>
    </w:p>
    <w:p w:rsidR="00BA01C5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0931E0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2.具有独立承担民事责任能力的法人或其他组织，若分所参加须提供总所资质文件及授权书。</w:t>
      </w:r>
    </w:p>
    <w:p w:rsidR="00BA01C5" w:rsidRPr="00BA01C5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宋体" w:cs="Times New Roman"/>
          <w:snapToGrid w:val="0"/>
          <w:kern w:val="0"/>
          <w:sz w:val="32"/>
          <w:szCs w:val="32"/>
        </w:rPr>
      </w:pPr>
      <w:r w:rsidRPr="00BA01C5">
        <w:rPr>
          <w:rFonts w:ascii="彩虹黑体" w:eastAsia="彩虹黑体" w:hAnsi="宋体" w:cs="Times New Roman" w:hint="eastAsia"/>
          <w:snapToGrid w:val="0"/>
          <w:kern w:val="0"/>
          <w:sz w:val="32"/>
          <w:szCs w:val="32"/>
        </w:rPr>
        <w:t>二、服务内容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1</w:t>
      </w: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.</w:t>
      </w: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法律尽调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（1）</w:t>
      </w: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对项目实施法律尽职调查工作。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包括但不限于：目标企业的主体资格（含设立及有效存续、股权变动、历史沿革、资本缴纳等）、公司治理、独立性（含业务、资产、人员、财务、机构等的独立性）、关联交易、同业竞争情况，目标公司及其重要参控股子公司（尽调主体最终由建信投资确认）的主要财产情况（含土地使用权、知识产权、特殊经营权等无形资产、房屋建筑物、在建工程、主要生产经营设备、资产抵质押及权属纠纷等）、业务情况（含经营资质、生产经营核准备案情况、重大业务合同等）、规范运作（含税务、财政补贴、环保、安全生产、产品质量、人员、社会保障）、重大债权债务，目标企业及其控股股东、实际控制人的行政处罚或其他监管措施、诉讼仲裁、担保情况调查、风险识别等。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根据尽调及4号令等监管规定给出意见及建议。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lastRenderedPageBreak/>
        <w:t>尽调标准原则上不弱于A股IPO的标准。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（2）</w:t>
      </w: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协助设计项目交易方案。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包括但不限于：交易方案中交割条件的确定、交割条款的设置、过渡期安排、价值调整机制设计、投后管理条款设计、期间收益安排、项目退出安排等。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（3）</w:t>
      </w: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对交易方案合法合规性出具法律意见。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（4）</w:t>
      </w: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参与、协助法律文件的沟通谈判工作，负责法律文件的起草和审核工作。法律文件包括但不限于增资协议或股权转让协议及补充协议、股东协议、合作协议、交割文件、账户监管协议、目标企业的章程、三会议事规则等相关法律性文件。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（5）</w:t>
      </w: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其他相关法律服务。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</w:t>
      </w: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.</w:t>
      </w: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法律文件谈判及起草</w:t>
      </w:r>
    </w:p>
    <w:p w:rsidR="00BA01C5" w:rsidRPr="00B93F8C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（1）</w:t>
      </w:r>
      <w:r w:rsidRPr="00B93F8C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参与、协助法律文件的沟通谈判工作，负责法律文件的起草和审核工作。法律文件包括但不限于增资协议或股权转让协议及补充协议、股东协议、合作协议、交割文件、账户监管协议、目标企业的章程、三会议事规则等相关法律性文件。</w:t>
      </w:r>
    </w:p>
    <w:p w:rsidR="00BA01C5" w:rsidRPr="00BA01C5" w:rsidRDefault="00BA01C5" w:rsidP="00BA01C5">
      <w:pPr>
        <w:adjustRightInd w:val="0"/>
        <w:snapToGrid w:val="0"/>
        <w:spacing w:line="560" w:lineRule="exact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 xml:space="preserve">    （2）</w:t>
      </w:r>
      <w:r w:rsidRPr="00BA01C5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其他相关法律服务。</w:t>
      </w:r>
    </w:p>
    <w:p w:rsidR="00BA01C5" w:rsidRPr="00BA01C5" w:rsidRDefault="00BA01C5" w:rsidP="00BA01C5">
      <w:pPr>
        <w:adjustRightInd w:val="0"/>
        <w:snapToGrid w:val="0"/>
        <w:spacing w:line="560" w:lineRule="exact"/>
        <w:rPr>
          <w:rFonts w:ascii="彩虹黑体" w:eastAsia="彩虹黑体" w:hAnsi="彩虹黑体" w:cs="彩虹黑体"/>
          <w:snapToGrid w:val="0"/>
          <w:kern w:val="0"/>
          <w:sz w:val="32"/>
          <w:szCs w:val="32"/>
        </w:rPr>
      </w:pPr>
      <w:r>
        <w:rPr>
          <w:rFonts w:ascii="彩虹楷体" w:eastAsia="彩虹楷体" w:hAnsi="彩虹黑体" w:cs="彩虹黑体" w:hint="eastAsia"/>
          <w:b/>
          <w:snapToGrid w:val="0"/>
          <w:kern w:val="0"/>
          <w:sz w:val="32"/>
          <w:szCs w:val="32"/>
        </w:rPr>
        <w:t xml:space="preserve">    </w:t>
      </w:r>
      <w:r w:rsidRPr="00BA01C5"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三、服务团队</w:t>
      </w:r>
    </w:p>
    <w:p w:rsidR="00BA01C5" w:rsidRPr="00C043CD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1.</w:t>
      </w:r>
      <w:r w:rsidRPr="00C043C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配备充足且相对固定的、具有相关项目经验的服务团队，能够按时保质保量的完成工作。法律尽调要求单一项目现场办公人员不得少于4人，资深业务人员（指正式工作年限不低于5年）不得少于2人。撰写协议的经办律师不得为</w:t>
      </w:r>
      <w:r w:rsidRPr="00C043C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lastRenderedPageBreak/>
        <w:t>律所初级律师，必须由中标律师团队的负责人资深业务人员参与业务谈判，且对撰写的文书进行审核。</w:t>
      </w:r>
    </w:p>
    <w:p w:rsidR="00BA01C5" w:rsidRPr="00C043CD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2.</w:t>
      </w:r>
      <w:r w:rsidRPr="00C043C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谈判响应人提交候选服务团队人员名单，一旦中选，未经采购人书面同意不得更换相关人员。</w:t>
      </w:r>
    </w:p>
    <w:p w:rsidR="00BA01C5" w:rsidRPr="00C043CD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3.</w:t>
      </w:r>
      <w:r w:rsidRPr="00C043C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建信投资对承办团队的服务水平、业务能力和职业道德等存在异议的，有权要求及时更换。</w:t>
      </w:r>
    </w:p>
    <w:p w:rsidR="00BA01C5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4.</w:t>
      </w:r>
      <w:r w:rsidRPr="00C043C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项目负责人必须出席到场，并根据需要延长现场工作时间。</w:t>
      </w:r>
    </w:p>
    <w:p w:rsidR="00BA01C5" w:rsidRPr="00BA01C5" w:rsidRDefault="00BA01C5" w:rsidP="00BA01C5">
      <w:pPr>
        <w:adjustRightInd w:val="0"/>
        <w:snapToGrid w:val="0"/>
        <w:spacing w:line="560" w:lineRule="exact"/>
        <w:rPr>
          <w:rFonts w:ascii="彩虹黑体" w:eastAsia="彩虹黑体" w:hAnsi="彩虹黑体" w:cs="彩虹黑体"/>
          <w:snapToGrid w:val="0"/>
          <w:kern w:val="0"/>
          <w:sz w:val="32"/>
          <w:szCs w:val="32"/>
        </w:rPr>
      </w:pPr>
      <w:r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 xml:space="preserve">    四</w:t>
      </w:r>
      <w:r w:rsidRPr="00BA01C5"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、服务质量要求</w:t>
      </w:r>
    </w:p>
    <w:p w:rsidR="00BA01C5" w:rsidRPr="00C043CD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1.</w:t>
      </w:r>
      <w:r w:rsidRPr="00C043C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应标时向我司提供工作计划、需要企业提供的资料清单等，根据具体项目的时间安排，准时进场工作，定期（每2日）向我司汇报工作进展情况，中介需要在双方协商后的时间节点反馈所需的文件和成果。</w:t>
      </w:r>
    </w:p>
    <w:p w:rsidR="00BA01C5" w:rsidRPr="00C043CD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2.</w:t>
      </w:r>
      <w:r w:rsidRPr="00C043C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中介应设立单一对接人完成文件传送工作（合作协议签订、费用报销、发票寄送也为同一专人负责）。</w:t>
      </w:r>
    </w:p>
    <w:p w:rsidR="00BA01C5" w:rsidRPr="00C043CD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3.</w:t>
      </w:r>
      <w:r w:rsidRPr="00C043C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中介服务机构需要充分了解项目基本情况和进展状况，充分理解我方需求和监管相关要求。</w:t>
      </w:r>
    </w:p>
    <w:p w:rsidR="00BA01C5" w:rsidRPr="00C043CD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4.</w:t>
      </w:r>
      <w:r w:rsidRPr="00C043C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中介服务机构需要介绍其内部的服务质量审查流程及权限，保证其工作质量，对其出具的相关成果负责，并达到我方要求的质量标准。</w:t>
      </w:r>
    </w:p>
    <w:p w:rsidR="00BA01C5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>5.</w:t>
      </w:r>
      <w:r w:rsidRPr="00C043C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中介服务机构需要对相关业务情况严格保密。</w:t>
      </w:r>
    </w:p>
    <w:p w:rsidR="00BA01C5" w:rsidRPr="00BA01C5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黑体" w:eastAsia="彩虹黑体" w:hAnsi="彩虹黑体" w:cs="彩虹黑体"/>
          <w:snapToGrid w:val="0"/>
          <w:kern w:val="0"/>
          <w:sz w:val="32"/>
          <w:szCs w:val="32"/>
        </w:rPr>
      </w:pPr>
      <w:r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五</w:t>
      </w:r>
      <w:r w:rsidRPr="00BA01C5"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、服务数量要求</w:t>
      </w:r>
    </w:p>
    <w:p w:rsidR="00BA01C5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多项法律</w:t>
      </w:r>
      <w:r w:rsidRPr="00806C4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尽调服务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、协议谈判及起草服务</w:t>
      </w:r>
      <w:r w:rsidRPr="00806C4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。</w:t>
      </w:r>
    </w:p>
    <w:p w:rsidR="00BA01C5" w:rsidRPr="00806C4D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楷体" w:eastAsia="彩虹楷体" w:hAnsi="宋体" w:cs="Times New Roman"/>
          <w:b/>
          <w:snapToGrid w:val="0"/>
          <w:kern w:val="0"/>
          <w:sz w:val="32"/>
          <w:szCs w:val="32"/>
        </w:rPr>
      </w:pPr>
      <w:r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六、</w:t>
      </w:r>
      <w:r w:rsidRPr="00BA01C5">
        <w:rPr>
          <w:rFonts w:ascii="彩虹黑体" w:eastAsia="彩虹黑体" w:hAnsi="彩虹黑体" w:cs="彩虹黑体" w:hint="eastAsia"/>
          <w:snapToGrid w:val="0"/>
          <w:kern w:val="0"/>
          <w:sz w:val="32"/>
          <w:szCs w:val="32"/>
        </w:rPr>
        <w:t>服务供应安排</w:t>
      </w:r>
    </w:p>
    <w:p w:rsidR="00BA01C5" w:rsidRPr="00BA01C5" w:rsidRDefault="00BA01C5" w:rsidP="00BA01C5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 w:rsidRPr="00806C4D"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lastRenderedPageBreak/>
        <w:t>中介服务机构一般需要在进场2周内反馈相关成果，具体时间要求以不同项目情况协商确定。</w:t>
      </w:r>
    </w:p>
    <w:sectPr w:rsidR="00BA01C5" w:rsidRPr="00BA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9B" w:rsidRDefault="00423F9B" w:rsidP="00BA01C5">
      <w:r>
        <w:separator/>
      </w:r>
    </w:p>
  </w:endnote>
  <w:endnote w:type="continuationSeparator" w:id="0">
    <w:p w:rsidR="00423F9B" w:rsidRDefault="00423F9B" w:rsidP="00B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楷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9B" w:rsidRDefault="00423F9B" w:rsidP="00BA01C5">
      <w:r>
        <w:separator/>
      </w:r>
    </w:p>
  </w:footnote>
  <w:footnote w:type="continuationSeparator" w:id="0">
    <w:p w:rsidR="00423F9B" w:rsidRDefault="00423F9B" w:rsidP="00BA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373B5"/>
    <w:multiLevelType w:val="hybridMultilevel"/>
    <w:tmpl w:val="28943BBA"/>
    <w:lvl w:ilvl="0" w:tplc="EDDA4EB6">
      <w:start w:val="4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01A6A3B"/>
    <w:multiLevelType w:val="hybridMultilevel"/>
    <w:tmpl w:val="7F6CD534"/>
    <w:lvl w:ilvl="0" w:tplc="6F9C25E4">
      <w:start w:val="9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68542174"/>
    <w:multiLevelType w:val="hybridMultilevel"/>
    <w:tmpl w:val="7E96D754"/>
    <w:lvl w:ilvl="0" w:tplc="04F8EB24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16"/>
    <w:rsid w:val="000068E4"/>
    <w:rsid w:val="000216A5"/>
    <w:rsid w:val="00143B7A"/>
    <w:rsid w:val="00224B1F"/>
    <w:rsid w:val="003D143A"/>
    <w:rsid w:val="00423F9B"/>
    <w:rsid w:val="004601DA"/>
    <w:rsid w:val="005065A7"/>
    <w:rsid w:val="006D5B16"/>
    <w:rsid w:val="0070450A"/>
    <w:rsid w:val="007D5DA5"/>
    <w:rsid w:val="00833E0F"/>
    <w:rsid w:val="008E1097"/>
    <w:rsid w:val="0098294F"/>
    <w:rsid w:val="00992BEA"/>
    <w:rsid w:val="00AB6840"/>
    <w:rsid w:val="00B41CD9"/>
    <w:rsid w:val="00B92AD0"/>
    <w:rsid w:val="00BA01C5"/>
    <w:rsid w:val="00BB1071"/>
    <w:rsid w:val="00E245A8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B333C-C1B1-4142-B57E-7503787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1C5"/>
    <w:rPr>
      <w:sz w:val="18"/>
      <w:szCs w:val="18"/>
    </w:rPr>
  </w:style>
  <w:style w:type="paragraph" w:styleId="a5">
    <w:name w:val="List Paragraph"/>
    <w:basedOn w:val="a"/>
    <w:uiPriority w:val="99"/>
    <w:rsid w:val="00BA01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财务会计部综合</dc:creator>
  <cp:keywords/>
  <dc:description/>
  <cp:lastModifiedBy>财务会计部综合</cp:lastModifiedBy>
  <cp:revision>6</cp:revision>
  <dcterms:created xsi:type="dcterms:W3CDTF">2025-06-04T07:41:00Z</dcterms:created>
  <dcterms:modified xsi:type="dcterms:W3CDTF">2025-06-04T09:33:00Z</dcterms:modified>
</cp:coreProperties>
</file>