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彩虹粗仿宋" w:eastAsia="彩虹粗仿宋"/>
          <w:sz w:val="32"/>
          <w:szCs w:val="32"/>
          <w:highlight w:val="none"/>
        </w:rPr>
      </w:pPr>
    </w:p>
    <w:p>
      <w:pPr>
        <w:adjustRightInd w:val="0"/>
        <w:snapToGrid w:val="0"/>
        <w:spacing w:line="360" w:lineRule="auto"/>
        <w:jc w:val="center"/>
        <w:rPr>
          <w:rFonts w:ascii="彩虹小标宋" w:hAnsi="宋体" w:eastAsia="彩虹小标宋"/>
          <w:snapToGrid w:val="0"/>
          <w:kern w:val="0"/>
          <w:sz w:val="36"/>
          <w:szCs w:val="36"/>
          <w:highlight w:val="none"/>
        </w:rPr>
      </w:pPr>
      <w:r>
        <w:rPr>
          <w:rFonts w:hint="eastAsia" w:ascii="彩虹小标宋" w:hAnsi="宋体" w:eastAsia="彩虹小标宋"/>
          <w:snapToGrid w:val="0"/>
          <w:kern w:val="0"/>
          <w:sz w:val="36"/>
          <w:szCs w:val="36"/>
          <w:highlight w:val="none"/>
        </w:rPr>
        <w:t>公司设备维保采购需求</w:t>
      </w:r>
    </w:p>
    <w:p>
      <w:pPr>
        <w:pStyle w:val="12"/>
        <w:numPr>
          <w:ilvl w:val="0"/>
          <w:numId w:val="1"/>
        </w:numPr>
        <w:adjustRightInd w:val="0"/>
        <w:snapToGrid w:val="0"/>
        <w:spacing w:line="560" w:lineRule="atLeast"/>
        <w:ind w:firstLineChars="0"/>
        <w:rPr>
          <w:rFonts w:ascii="彩虹粗仿宋" w:hAnsi="宋体" w:eastAsia="彩虹粗仿宋"/>
          <w:snapToGrid w:val="0"/>
          <w:color w:val="000000" w:themeColor="text1"/>
          <w:kern w:val="0"/>
          <w:sz w:val="32"/>
          <w:szCs w:val="32"/>
          <w:highlight w:val="none"/>
          <w14:textFill>
            <w14:solidFill>
              <w14:schemeClr w14:val="tx1"/>
            </w14:solidFill>
          </w14:textFill>
        </w:rPr>
      </w:pPr>
      <w:r>
        <w:rPr>
          <w:rFonts w:hint="eastAsia" w:ascii="彩虹粗仿宋" w:hAnsi="宋体" w:eastAsia="彩虹粗仿宋"/>
          <w:sz w:val="32"/>
          <w:szCs w:val="32"/>
          <w:highlight w:val="none"/>
        </w:rPr>
        <w:t>系统背景说明</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为了确保公司网络安全、服务器存储等IT设备的正常运行，保障公司设备在出现任何硬件与软件故障，能得到及时更换与厂商的技术支持服务，采购相应设备的维保服务。</w:t>
      </w:r>
    </w:p>
    <w:p>
      <w:pPr>
        <w:adjustRightInd w:val="0"/>
        <w:snapToGrid w:val="0"/>
        <w:spacing w:line="560" w:lineRule="atLeast"/>
        <w:rPr>
          <w:rFonts w:ascii="彩虹粗仿宋" w:eastAsia="彩虹粗仿宋"/>
          <w:sz w:val="32"/>
          <w:szCs w:val="32"/>
          <w:highlight w:val="none"/>
        </w:rPr>
      </w:pPr>
      <w:r>
        <w:rPr>
          <w:rFonts w:hint="eastAsia" w:ascii="彩虹粗仿宋" w:eastAsia="彩虹粗仿宋"/>
          <w:sz w:val="32"/>
          <w:szCs w:val="32"/>
          <w:highlight w:val="none"/>
        </w:rPr>
        <w:t>二、维护工作的范围、内容、期限</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1.维护工作范围</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公司维保设备主要为网络安全与服务器存储设备，按照维保设备清单提供维保服务，详见下表。</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2.维护内容</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2.1.当设备出现硬件故障时，由服务商提供无故障备件, 保证我司系统的正常运行。</w:t>
      </w:r>
    </w:p>
    <w:p>
      <w:pPr>
        <w:adjustRightInd w:val="0"/>
        <w:snapToGrid w:val="0"/>
        <w:spacing w:line="560" w:lineRule="atLeast"/>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2.2.采购服务为7*24，如果确认硬件故障，则服务商必须在第二个自然日送达备件，进行设备更换。</w:t>
      </w:r>
      <w:r>
        <w:rPr>
          <w:rFonts w:ascii="彩虹粗仿宋" w:eastAsia="彩虹粗仿宋"/>
          <w:sz w:val="32"/>
          <w:szCs w:val="32"/>
          <w:highlight w:val="none"/>
        </w:rPr>
        <w:t xml:space="preserve"> </w:t>
      </w:r>
    </w:p>
    <w:p>
      <w:pPr>
        <w:pBdr>
          <w:top w:val="single" w:color="FFFFFF" w:sz="6" w:space="0"/>
        </w:pBdr>
        <w:tabs>
          <w:tab w:val="left" w:pos="300"/>
        </w:tabs>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2.3.服务商工程师必要时需在我司现场进行故障诊断及维修服务，进行备件更换等操作，以恢复故障设备和系统的可用状态；对于现场工程师无法判断的故障，须根据我司要求，协调设备原厂技术支持，相关费用由服务商承担。对于不能立即解决的问题，进行问题跟踪，直至问题解决。</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2.4.服务商按照我司需求，评估设备软件版本。软件版本升级前，服务商工程师要详细了解系统现状，并对软件版本进行模拟测试。测试无误后，并经我司相关负责人员审核确认后，方可用于设备软件版本升级。服务商负责准备相关的实施方案及应急回退方案，并负责版本升级的实施工作。</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2.5.服务商工程师须提供软件版本升级指导文档。</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2.6.服务商必须保证所有更换的设备具有完整的技术资料及相关介质，并符合国际有关技术标准要求，符合国家有关技术、安全要求。</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2.7.我司如遇到异品牌或异型号设备更换的情况，乙方要保障提供更换前及更换过程中的支持服务，提供现场技术支持，确保甲方网络设备顺利投产。</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 xml:space="preserve">2.8.在服务期内的每个季度，服务商工程师对本次合同包含的设备进行一次巡检，提交巡检报告。遇到重大节假日或重保等特殊情况按我司需求额外提供硬件健康检查服务。 </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2.9.在年终结转、国家重大事件（如两会）、主要节假日等期间，要主动配合我司做好运维保障工作，必要时需派工程师到现场值班，并依我司要求提前准备重要备件放置到甲方现场。</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2.10.服务商根据我司要求，免费提供维保设备的技术培训，确保我司可以针对维保设备进行熟练的管理、监控、配置、运维和应急。服务商按照我方需求，对我司提出的有关产品故障问题的技术咨询进行解答，协助我司解决设备运维中的技术难题，按需为我司提供现场技术培训和技术交流活动。</w:t>
      </w:r>
    </w:p>
    <w:p>
      <w:pPr>
        <w:pStyle w:val="12"/>
        <w:adjustRightInd w:val="0"/>
        <w:snapToGrid w:val="0"/>
        <w:spacing w:line="360" w:lineRule="auto"/>
        <w:ind w:left="720" w:firstLine="0" w:firstLineChars="0"/>
        <w:rPr>
          <w:rFonts w:ascii="彩虹粗仿宋" w:eastAsia="彩虹粗仿宋" w:hAnsiTheme="minorHAnsi" w:cstheme="minorBidi"/>
          <w:sz w:val="32"/>
          <w:szCs w:val="32"/>
          <w:highlight w:val="none"/>
        </w:rPr>
      </w:pPr>
      <w:r>
        <w:rPr>
          <w:rFonts w:hint="eastAsia" w:ascii="彩虹粗仿宋" w:eastAsia="彩虹粗仿宋" w:hAnsiTheme="minorHAnsi" w:cstheme="minorBidi"/>
          <w:sz w:val="32"/>
          <w:szCs w:val="32"/>
          <w:highlight w:val="none"/>
        </w:rPr>
        <w:t>3.服务期限</w:t>
      </w:r>
    </w:p>
    <w:p>
      <w:pPr>
        <w:adjustRightInd w:val="0"/>
        <w:snapToGrid w:val="0"/>
        <w:spacing w:line="360" w:lineRule="auto"/>
        <w:ind w:firstLine="640" w:firstLineChars="200"/>
        <w:rPr>
          <w:rFonts w:ascii="彩虹粗仿宋" w:eastAsia="彩虹粗仿宋"/>
          <w:sz w:val="32"/>
          <w:szCs w:val="32"/>
          <w:highlight w:val="none"/>
        </w:rPr>
      </w:pPr>
      <w:r>
        <w:rPr>
          <w:rFonts w:hint="eastAsia" w:ascii="彩虹粗仿宋" w:eastAsia="彩虹粗仿宋"/>
          <w:sz w:val="32"/>
          <w:szCs w:val="32"/>
          <w:highlight w:val="none"/>
        </w:rPr>
        <w:t>1年，202</w:t>
      </w:r>
      <w:r>
        <w:rPr>
          <w:rFonts w:ascii="彩虹粗仿宋" w:eastAsia="彩虹粗仿宋"/>
          <w:sz w:val="32"/>
          <w:szCs w:val="32"/>
          <w:highlight w:val="none"/>
        </w:rPr>
        <w:t>5</w:t>
      </w:r>
      <w:r>
        <w:rPr>
          <w:rFonts w:hint="eastAsia" w:ascii="彩虹粗仿宋" w:eastAsia="彩虹粗仿宋"/>
          <w:sz w:val="32"/>
          <w:szCs w:val="32"/>
          <w:highlight w:val="none"/>
        </w:rPr>
        <w:t>年9月1日至202</w:t>
      </w:r>
      <w:r>
        <w:rPr>
          <w:rFonts w:ascii="彩虹粗仿宋" w:eastAsia="彩虹粗仿宋"/>
          <w:sz w:val="32"/>
          <w:szCs w:val="32"/>
          <w:highlight w:val="none"/>
        </w:rPr>
        <w:t>6</w:t>
      </w:r>
      <w:r>
        <w:rPr>
          <w:rFonts w:hint="eastAsia" w:ascii="彩虹粗仿宋" w:eastAsia="彩虹粗仿宋"/>
          <w:sz w:val="32"/>
          <w:szCs w:val="32"/>
          <w:highlight w:val="none"/>
        </w:rPr>
        <w:t>年8月31日，部分新增设备，按照维保实际结束日期开始，统一结束至2</w:t>
      </w:r>
      <w:r>
        <w:rPr>
          <w:rFonts w:ascii="彩虹粗仿宋" w:eastAsia="彩虹粗仿宋"/>
          <w:sz w:val="32"/>
          <w:szCs w:val="32"/>
          <w:highlight w:val="none"/>
        </w:rPr>
        <w:t>026</w:t>
      </w:r>
      <w:r>
        <w:rPr>
          <w:rFonts w:hint="eastAsia" w:ascii="彩虹粗仿宋" w:eastAsia="彩虹粗仿宋"/>
          <w:sz w:val="32"/>
          <w:szCs w:val="32"/>
          <w:highlight w:val="none"/>
        </w:rPr>
        <w:t>年8月3</w:t>
      </w:r>
      <w:r>
        <w:rPr>
          <w:rFonts w:ascii="彩虹粗仿宋" w:eastAsia="彩虹粗仿宋"/>
          <w:sz w:val="32"/>
          <w:szCs w:val="32"/>
          <w:highlight w:val="none"/>
        </w:rPr>
        <w:t>1</w:t>
      </w:r>
      <w:r>
        <w:rPr>
          <w:rFonts w:hint="eastAsia" w:ascii="彩虹粗仿宋" w:eastAsia="彩虹粗仿宋"/>
          <w:sz w:val="32"/>
          <w:szCs w:val="32"/>
          <w:highlight w:val="none"/>
        </w:rPr>
        <w:t>日。</w:t>
      </w:r>
    </w:p>
    <w:p>
      <w:pPr>
        <w:adjustRightInd w:val="0"/>
        <w:snapToGrid w:val="0"/>
        <w:spacing w:line="360" w:lineRule="auto"/>
        <w:ind w:firstLine="320" w:firstLineChars="100"/>
        <w:rPr>
          <w:rFonts w:ascii="彩虹粗仿宋" w:hAnsi="宋体" w:eastAsia="彩虹粗仿宋"/>
          <w:sz w:val="32"/>
          <w:szCs w:val="32"/>
          <w:highlight w:val="none"/>
        </w:rPr>
      </w:pPr>
      <w:r>
        <w:rPr>
          <w:rFonts w:hint="eastAsia" w:ascii="彩虹粗仿宋" w:hAnsi="宋体" w:eastAsia="彩虹粗仿宋"/>
          <w:sz w:val="32"/>
          <w:szCs w:val="32"/>
          <w:highlight w:val="none"/>
        </w:rPr>
        <w:t>公司维保设备清单：</w:t>
      </w:r>
    </w:p>
    <w:tbl>
      <w:tblPr>
        <w:tblStyle w:val="7"/>
        <w:tblW w:w="5123" w:type="pct"/>
        <w:tblInd w:w="0" w:type="dxa"/>
        <w:tblLayout w:type="fixed"/>
        <w:tblCellMar>
          <w:top w:w="0" w:type="dxa"/>
          <w:left w:w="108" w:type="dxa"/>
          <w:bottom w:w="0" w:type="dxa"/>
          <w:right w:w="108" w:type="dxa"/>
        </w:tblCellMar>
      </w:tblPr>
      <w:tblGrid>
        <w:gridCol w:w="1337"/>
        <w:gridCol w:w="1941"/>
        <w:gridCol w:w="603"/>
        <w:gridCol w:w="1359"/>
        <w:gridCol w:w="1893"/>
        <w:gridCol w:w="1599"/>
        <w:tblGridChange w:id="0">
          <w:tblGrid>
            <w:gridCol w:w="1337"/>
            <w:gridCol w:w="1941"/>
            <w:gridCol w:w="603"/>
            <w:gridCol w:w="1359"/>
            <w:gridCol w:w="1893"/>
            <w:gridCol w:w="1599"/>
          </w:tblGrid>
        </w:tblGridChange>
      </w:tblGrid>
      <w:tr>
        <w:tblPrEx>
          <w:tblCellMar>
            <w:top w:w="0" w:type="dxa"/>
            <w:left w:w="108" w:type="dxa"/>
            <w:bottom w:w="0" w:type="dxa"/>
            <w:right w:w="108" w:type="dxa"/>
          </w:tblCellMar>
        </w:tblPrEx>
        <w:trPr>
          <w:trHeight w:val="468" w:hRule="atLeast"/>
        </w:trPr>
        <w:tc>
          <w:tcPr>
            <w:tcW w:w="7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名称</w:t>
            </w:r>
          </w:p>
        </w:tc>
        <w:tc>
          <w:tcPr>
            <w:tcW w:w="11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说明</w:t>
            </w:r>
          </w:p>
        </w:tc>
        <w:tc>
          <w:tcPr>
            <w:tcW w:w="3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数量</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设备原值（参考）</w:t>
            </w:r>
          </w:p>
        </w:tc>
        <w:tc>
          <w:tcPr>
            <w:tcW w:w="108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维保开始时间</w:t>
            </w:r>
          </w:p>
        </w:tc>
        <w:tc>
          <w:tcPr>
            <w:tcW w:w="9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服务要求、</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设备所在地</w:t>
            </w:r>
          </w:p>
        </w:tc>
      </w:tr>
      <w:tr>
        <w:tblPrEx>
          <w:tblCellMar>
            <w:top w:w="0" w:type="dxa"/>
            <w:left w:w="108" w:type="dxa"/>
            <w:bottom w:w="0" w:type="dxa"/>
            <w:right w:w="108" w:type="dxa"/>
          </w:tblCellMar>
        </w:tblPrEx>
        <w:trPr>
          <w:trHeight w:val="54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LS-7503E</w:t>
            </w:r>
          </w:p>
        </w:tc>
        <w:tc>
          <w:tcPr>
            <w:tcW w:w="111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S7503E 以太网交换机主机</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383,600.00 </w:t>
            </w:r>
          </w:p>
        </w:tc>
        <w:tc>
          <w:tcPr>
            <w:tcW w:w="108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w:t>
            </w:r>
            <w:r>
              <w:rPr>
                <w:rFonts w:ascii="宋体" w:hAnsi="宋体" w:eastAsia="宋体" w:cs="宋体"/>
                <w:color w:val="000000"/>
                <w:kern w:val="0"/>
                <w:sz w:val="22"/>
                <w:highlight w:val="none"/>
              </w:rPr>
              <w:t xml:space="preserve">   </w:t>
            </w:r>
            <w:r>
              <w:rPr>
                <w:rFonts w:hint="eastAsia" w:ascii="宋体" w:hAnsi="宋体" w:eastAsia="宋体" w:cs="宋体"/>
                <w:color w:val="000000"/>
                <w:kern w:val="0"/>
                <w:sz w:val="22"/>
                <w:highlight w:val="none"/>
              </w:rPr>
              <w:t>日</w:t>
            </w:r>
          </w:p>
        </w:tc>
        <w:tc>
          <w:tcPr>
            <w:tcW w:w="9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原厂服务 </w:t>
            </w:r>
            <w:r>
              <w:rPr>
                <w:rFonts w:ascii="宋体" w:hAnsi="宋体" w:eastAsia="宋体" w:cs="宋体"/>
                <w:color w:val="000000"/>
                <w:kern w:val="0"/>
                <w:sz w:val="22"/>
                <w:highlight w:val="none"/>
              </w:rPr>
              <w:t xml:space="preserve"> </w:t>
            </w:r>
            <w:r>
              <w:rPr>
                <w:rFonts w:hint="eastAsia" w:ascii="宋体" w:hAnsi="宋体" w:eastAsia="宋体" w:cs="宋体"/>
                <w:color w:val="000000"/>
                <w:kern w:val="0"/>
                <w:sz w:val="22"/>
                <w:highlight w:val="none"/>
              </w:rPr>
              <w:t xml:space="preserve"> 北京</w:t>
            </w:r>
          </w:p>
        </w:tc>
      </w:tr>
      <w:tr>
        <w:tblPrEx>
          <w:tblCellMar>
            <w:top w:w="0" w:type="dxa"/>
            <w:left w:w="108" w:type="dxa"/>
            <w:bottom w:w="0" w:type="dxa"/>
            <w:right w:w="108" w:type="dxa"/>
          </w:tblCellMar>
        </w:tblPrEx>
        <w:trPr>
          <w:trHeight w:val="492"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WS-X45-SUP6-E</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Catalyst 交换机 板卡</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103,100.00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68"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LS-7506E</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S7506E 以太网交换机主机</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365,500.00 </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原厂服务 </w:t>
            </w:r>
            <w:r>
              <w:rPr>
                <w:rFonts w:ascii="宋体" w:hAnsi="宋体" w:eastAsia="宋体" w:cs="宋体"/>
                <w:color w:val="000000"/>
                <w:kern w:val="0"/>
                <w:sz w:val="22"/>
                <w:highlight w:val="none"/>
              </w:rPr>
              <w:t xml:space="preserve">  </w:t>
            </w:r>
            <w:r>
              <w:rPr>
                <w:rFonts w:hint="eastAsia" w:ascii="宋体" w:hAnsi="宋体" w:eastAsia="宋体" w:cs="宋体"/>
                <w:color w:val="000000"/>
                <w:kern w:val="0"/>
                <w:sz w:val="22"/>
                <w:highlight w:val="none"/>
              </w:rPr>
              <w:t>北京</w:t>
            </w:r>
          </w:p>
        </w:tc>
      </w:tr>
      <w:tr>
        <w:tblPrEx>
          <w:tblCellMar>
            <w:top w:w="0" w:type="dxa"/>
            <w:left w:w="108" w:type="dxa"/>
            <w:bottom w:w="0" w:type="dxa"/>
            <w:right w:w="108" w:type="dxa"/>
          </w:tblCellMar>
        </w:tblPrEx>
        <w:trPr>
          <w:trHeight w:val="468"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LS-5500-58C-PWR-HI</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S5500-58C-PWR-HI L3以太网交换机主机,支持 48 10/100/1000BASE-T端口(PoE+),支持4个100/1000 BASE-X SFP端口,支持2个10G/1G BASE-X SFP+端口,支持2个Slots</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128,000.00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合肥</w:t>
            </w:r>
          </w:p>
        </w:tc>
      </w:tr>
      <w:tr>
        <w:tblPrEx>
          <w:tblCellMar>
            <w:top w:w="0" w:type="dxa"/>
            <w:left w:w="108" w:type="dxa"/>
            <w:bottom w:w="0" w:type="dxa"/>
            <w:right w:w="108" w:type="dxa"/>
          </w:tblCellMar>
        </w:tblPrEx>
        <w:trPr>
          <w:trHeight w:val="42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80"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56"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92"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RT-MSR3620</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MSR 36-20路由器主机</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54,000.00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合肥</w:t>
            </w:r>
          </w:p>
        </w:tc>
      </w:tr>
      <w:tr>
        <w:tblPrEx>
          <w:tblCellMar>
            <w:top w:w="0" w:type="dxa"/>
            <w:left w:w="108" w:type="dxa"/>
            <w:bottom w:w="0" w:type="dxa"/>
            <w:right w:w="108" w:type="dxa"/>
          </w:tblCellMar>
        </w:tblPrEx>
        <w:trPr>
          <w:trHeight w:val="492"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576"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TopIDP 3000  TI-31114</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1U机型最大配置为12个接口,默认包括4个10/100/1000Base-T端口（其中eth2和eth3支持bypass），1个扩展槽默</w:t>
            </w:r>
            <w:bookmarkStart w:id="0" w:name="_GoBack"/>
            <w:bookmarkEnd w:id="0"/>
            <w:r>
              <w:rPr>
                <w:rFonts w:hint="eastAsia" w:ascii="宋体" w:hAnsi="宋体" w:eastAsia="宋体" w:cs="宋体"/>
                <w:color w:val="000000"/>
                <w:kern w:val="0"/>
                <w:sz w:val="20"/>
                <w:szCs w:val="20"/>
                <w:highlight w:val="none"/>
              </w:rPr>
              <w:t>认含：</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1年攻击规则库特征库升级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WEBFILTER功能，默认含1年过滤库升级</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178,000.00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2025/9/1</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 合肥</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IDP-LIC-E-1Y</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攻击规则库1年升级license</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WF-LIC-E-IDP-1Y</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WEBFILTER过滤规则库1年升级license</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576"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AVETS-SMT-M-E-IDP</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首次购买企业版快速扫描查杀病毒模块，含1年病毒库升级服务许可</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68"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AVETS-SMT-LIC-E-IDP-1Y</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企业版快速扫描查杀病毒库1年升级服务许可，需先购模块</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8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宝利通多点控制单元(MCU)总行</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POLYCOM RMX 2000</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565,000.00 </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 北京</w:t>
            </w:r>
          </w:p>
        </w:tc>
      </w:tr>
      <w:tr>
        <w:tblPrEx>
          <w:tblCellMar>
            <w:top w:w="0" w:type="dxa"/>
            <w:left w:w="108" w:type="dxa"/>
            <w:bottom w:w="0" w:type="dxa"/>
            <w:right w:w="108" w:type="dxa"/>
          </w:tblCellMar>
        </w:tblPrEx>
        <w:trPr>
          <w:trHeight w:val="96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网康智能流量管理系统</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最大双向吞吐量400Mbps；含专用操作系统与智能流量管理标准软件；含三年软件升级与数据库更新服务，含三年硬件质保服务。</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125,000.00 </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 济南</w:t>
            </w:r>
          </w:p>
        </w:tc>
      </w:tr>
      <w:tr>
        <w:tblPrEx>
          <w:tblCellMar>
            <w:top w:w="0" w:type="dxa"/>
            <w:left w:w="108" w:type="dxa"/>
            <w:bottom w:w="0" w:type="dxa"/>
            <w:right w:w="108" w:type="dxa"/>
          </w:tblCellMar>
        </w:tblPrEx>
        <w:trPr>
          <w:trHeight w:val="72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网康互联网控制网关NI3200-5D</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适用中型网络环境；电口接入，含专用操作系统与上网行为管理标准软件；含三年硬件质保服务及软件升级服务。</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140,000.00 </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w:t>
            </w:r>
          </w:p>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济南</w:t>
            </w:r>
          </w:p>
        </w:tc>
      </w:tr>
      <w:tr>
        <w:tblPrEx>
          <w:tblCellMar>
            <w:top w:w="0" w:type="dxa"/>
            <w:left w:w="108" w:type="dxa"/>
            <w:bottom w:w="0" w:type="dxa"/>
            <w:right w:w="108" w:type="dxa"/>
          </w:tblCellMar>
        </w:tblPrEx>
        <w:trPr>
          <w:trHeight w:val="936"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LS-5130-34C-HI</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S5130-34C-HI L3</w:t>
            </w:r>
            <w:r>
              <w:rPr>
                <w:rFonts w:ascii="Arial" w:hAnsi="Arial" w:eastAsia="宋体" w:cs="Arial"/>
                <w:color w:val="000000"/>
                <w:kern w:val="0"/>
                <w:sz w:val="18"/>
                <w:szCs w:val="18"/>
                <w:highlight w:val="none"/>
              </w:rPr>
              <w:t>以太网交换机主机,支持28个10/100/1000BASE-T端口,支持8个1G SFP combo端口,支持4个10G/1G BASE-X SFP+端口,支持1个Slot,无电源</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36,000.00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LSPM2150A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150W </w:t>
            </w:r>
            <w:r>
              <w:rPr>
                <w:rFonts w:ascii="Arial" w:hAnsi="Arial" w:eastAsia="宋体" w:cs="Arial"/>
                <w:color w:val="000000"/>
                <w:kern w:val="0"/>
                <w:sz w:val="18"/>
                <w:szCs w:val="18"/>
                <w:highlight w:val="none"/>
              </w:rPr>
              <w:t>资产管理交流电源模块</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SFP-GE-SX-MM850-A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光模块</w:t>
            </w:r>
            <w:r>
              <w:rPr>
                <w:rFonts w:ascii="Arial" w:hAnsi="Arial" w:eastAsia="宋体" w:cs="Arial"/>
                <w:color w:val="000000"/>
                <w:kern w:val="0"/>
                <w:sz w:val="18"/>
                <w:szCs w:val="18"/>
                <w:highlight w:val="none"/>
              </w:rPr>
              <w:t>-SFP-GE-多模模块-(850nm,0.55km,LC)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Change w:id="1" w:author="聂晓慧" w:date="2025-08-01T13:36:32Z">
            <w:tblPrEx>
              <w:tblCellMar>
                <w:top w:w="0" w:type="dxa"/>
                <w:left w:w="108" w:type="dxa"/>
                <w:bottom w:w="0" w:type="dxa"/>
                <w:right w:w="108" w:type="dxa"/>
              </w:tblCellMar>
            </w:tblPrEx>
          </w:tblPrExChange>
        </w:tblPrEx>
        <w:trPr>
          <w:trHeight w:val="504" w:hRule="atLeast"/>
          <w:trPrChange w:id="1" w:author="聂晓慧" w:date="2025-08-01T13:36:32Z">
            <w:trPr>
              <w:trHeight w:val="300" w:hRule="atLeast"/>
            </w:trPr>
          </w:trPrChange>
        </w:trPr>
        <w:tc>
          <w:tcPr>
            <w:tcW w:w="766" w:type="pct"/>
            <w:tcBorders>
              <w:top w:val="nil"/>
              <w:left w:val="single" w:color="auto" w:sz="4" w:space="0"/>
              <w:bottom w:val="single" w:color="auto" w:sz="4" w:space="0"/>
              <w:right w:val="single" w:color="auto" w:sz="4" w:space="0"/>
            </w:tcBorders>
            <w:shd w:val="clear" w:color="auto" w:fill="auto"/>
            <w:vAlign w:val="center"/>
            <w:tcPrChange w:id="2" w:author="聂晓慧" w:date="2025-08-01T13:36:32Z">
              <w:tcPr>
                <w:tcW w:w="766" w:type="pct"/>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LSPM1FANSB</w:t>
            </w:r>
          </w:p>
        </w:tc>
        <w:tc>
          <w:tcPr>
            <w:tcW w:w="1111" w:type="pct"/>
            <w:tcBorders>
              <w:top w:val="nil"/>
              <w:left w:val="nil"/>
              <w:bottom w:val="single" w:color="auto" w:sz="4" w:space="0"/>
              <w:right w:val="single" w:color="auto" w:sz="4" w:space="0"/>
            </w:tcBorders>
            <w:shd w:val="clear" w:color="auto" w:fill="auto"/>
            <w:vAlign w:val="center"/>
            <w:tcPrChange w:id="3" w:author="聂晓慧" w:date="2025-08-01T13:36:32Z">
              <w:tcPr>
                <w:tcW w:w="1111" w:type="pct"/>
                <w:tcBorders>
                  <w:top w:val="nil"/>
                  <w:left w:val="nil"/>
                  <w:bottom w:val="single" w:color="auto" w:sz="4" w:space="0"/>
                  <w:right w:val="single" w:color="auto" w:sz="4" w:space="0"/>
                </w:tcBorders>
                <w:shd w:val="clear" w:color="auto" w:fill="auto"/>
                <w:vAlign w:val="center"/>
              </w:tcPr>
            </w:tcPrChange>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S5560 </w:t>
            </w:r>
            <w:r>
              <w:rPr>
                <w:rFonts w:ascii="Arial" w:hAnsi="Arial" w:eastAsia="宋体" w:cs="Arial"/>
                <w:color w:val="000000"/>
                <w:kern w:val="0"/>
                <w:sz w:val="18"/>
                <w:szCs w:val="18"/>
                <w:highlight w:val="none"/>
              </w:rPr>
              <w:t>以太网交换机风扇模块(电源侧出风)</w:t>
            </w:r>
          </w:p>
        </w:tc>
        <w:tc>
          <w:tcPr>
            <w:tcW w:w="345" w:type="pct"/>
            <w:tcBorders>
              <w:top w:val="nil"/>
              <w:left w:val="nil"/>
              <w:bottom w:val="single" w:color="auto" w:sz="4" w:space="0"/>
              <w:right w:val="single" w:color="auto" w:sz="4" w:space="0"/>
            </w:tcBorders>
            <w:shd w:val="clear" w:color="auto" w:fill="auto"/>
            <w:vAlign w:val="center"/>
            <w:tcPrChange w:id="4" w:author="聂晓慧" w:date="2025-08-01T13:36:32Z">
              <w:tcPr>
                <w:tcW w:w="345" w:type="pct"/>
                <w:tcBorders>
                  <w:top w:val="nil"/>
                  <w:left w:val="nil"/>
                  <w:bottom w:val="single" w:color="auto" w:sz="4" w:space="0"/>
                  <w:right w:val="single" w:color="auto" w:sz="4" w:space="0"/>
                </w:tcBorders>
                <w:shd w:val="clear" w:color="auto" w:fill="auto"/>
                <w:vAlign w:val="center"/>
              </w:tcPr>
            </w:tcPrChange>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Change w:id="5" w:author="聂晓慧" w:date="2025-08-01T13:36:32Z">
              <w:tcPr>
                <w:tcW w:w="778" w:type="pct"/>
                <w:vMerge w:val="continue"/>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Change w:id="6" w:author="聂晓慧" w:date="2025-08-01T13:36:32Z">
              <w:tcPr>
                <w:tcW w:w="1084" w:type="pct"/>
                <w:vMerge w:val="continue"/>
                <w:tcBorders>
                  <w:top w:val="nil"/>
                  <w:left w:val="single" w:color="auto" w:sz="4" w:space="0"/>
                  <w:bottom w:val="single" w:color="000000" w:sz="4" w:space="0"/>
                  <w:right w:val="single" w:color="auto" w:sz="4" w:space="0"/>
                </w:tcBorders>
                <w:vAlign w:val="center"/>
              </w:tcPr>
            </w:tcPrChange>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Change w:id="7" w:author="聂晓慧" w:date="2025-08-01T13:36:32Z">
              <w:tcPr>
                <w:tcW w:w="916" w:type="pct"/>
                <w:vMerge w:val="continue"/>
                <w:tcBorders>
                  <w:top w:val="nil"/>
                  <w:left w:val="single" w:color="auto" w:sz="4" w:space="0"/>
                  <w:bottom w:val="single" w:color="auto" w:sz="4" w:space="0"/>
                  <w:right w:val="single" w:color="auto" w:sz="4" w:space="0"/>
                </w:tcBorders>
                <w:vAlign w:val="center"/>
              </w:tcPr>
            </w:tcPrChange>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SFP-GE-LX-SM1310-A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光模块</w:t>
            </w:r>
            <w:r>
              <w:rPr>
                <w:rFonts w:ascii="Arial" w:hAnsi="Arial" w:eastAsia="宋体" w:cs="Arial"/>
                <w:color w:val="000000"/>
                <w:kern w:val="0"/>
                <w:sz w:val="18"/>
                <w:szCs w:val="18"/>
                <w:highlight w:val="none"/>
              </w:rPr>
              <w:t>-SFP-GE-单模模块-(1310nm,10km,LC)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20" w:hRule="atLeast"/>
        </w:trPr>
        <w:tc>
          <w:tcPr>
            <w:tcW w:w="76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防火墙</w:t>
            </w:r>
          </w:p>
        </w:tc>
        <w:tc>
          <w:tcPr>
            <w:tcW w:w="11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NGFW4000</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88,000.00 </w:t>
            </w:r>
          </w:p>
        </w:tc>
        <w:tc>
          <w:tcPr>
            <w:tcW w:w="10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 济南</w:t>
            </w:r>
          </w:p>
        </w:tc>
      </w:tr>
      <w:tr>
        <w:tblPrEx>
          <w:tblCellMar>
            <w:top w:w="0" w:type="dxa"/>
            <w:left w:w="108" w:type="dxa"/>
            <w:bottom w:w="0" w:type="dxa"/>
            <w:right w:w="108" w:type="dxa"/>
          </w:tblCellMar>
        </w:tblPrEx>
        <w:trPr>
          <w:trHeight w:val="48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LS-5560-38C-HI-XG</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S5560-38C-HI-XG L3以太网交换机主机,支持24个10/100/1000BASE-T电口,支持12个SFP+端口,支持1个插槽</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160,000.00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276"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LSVM1AC300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300W 交流电源模块</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44"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SFP-GE-SX-MM850-A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光模块-SFP-GE-多模模块-(850nm,0.55km,LC)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SFP-XG-SX-MM850-A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 万兆模块(850nm,300m,LC)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LSWM1FANSCE</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电源侧进风,端口侧出风风扇</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LS-7506E</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S7506E 以太网交换机主机</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214,500.00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北京</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LSQM1AC2800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S7500E 交流电源模块,2800W,PoE</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LSQM2MPUD0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S7500E交换路由引擎模块</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32"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LSQM4GV48SA0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48端口千兆以太网电接口模块(RJ45)(SA)-PoE Plus</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LSQM2GT48SA0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48端口千兆以太网电接口模块(RJ45)(SA)</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54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SFP-GE-LX-SM1310-A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光模块-SFP-GE-单模模块-(1310nm,10km,LC)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56"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LS-7503E</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S7503E 以太网交换机主机</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720,000.00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济南-北京各2台</w:t>
            </w:r>
          </w:p>
        </w:tc>
      </w:tr>
      <w:tr>
        <w:tblPrEx>
          <w:tblCellMar>
            <w:top w:w="0" w:type="dxa"/>
            <w:left w:w="108" w:type="dxa"/>
            <w:bottom w:w="0" w:type="dxa"/>
            <w:right w:w="108" w:type="dxa"/>
          </w:tblCellMar>
        </w:tblPrEx>
        <w:trPr>
          <w:trHeight w:val="456"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56"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rPr>
          <w:trHeight w:val="456"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12"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LS-7506E</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S7506E 以太网交换机主机</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600,000.00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312"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492"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SG-6000-E5260-36</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mips多核架构，1U机箱，实际配置4个千兆电口，4个GE/SFP接口，2个通用扩展槽，单电/双电都支持，2个万兆SFP+接口，4个通用扩展槽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支持IPSec VPN功能，支持SSL VPN功能  防火墙吞吐量：16Gbps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最大并发连接数：600万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每秒新建连接数：20万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http每秒新建数：15万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IPSEC吞吐率：8Gbps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IPSEC VPN隧道数：20000</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SSL并发用户数：10000      防病毒吞吐量：3.5Gbps    IPS吞吐量：5Gbps</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423,000.00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444"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LS-7506E</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S7506E 以太网交换机主机</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285,000.00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北京</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LSQM1AC2800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S7500E 交流电源模块,2800W,PoE</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LSQM1SRP8X2QE0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S7500E 交换路由引擎模块</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SFP-XG-SX-MM850-A</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SFP+ 万兆模块(850nm,300m,LC)</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696"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LSQM4GV48SA0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48端口千兆以太网电接口模块(RJ45)(SA)-PoE Plus</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LSQM2GT48SA0</w:t>
            </w:r>
          </w:p>
        </w:tc>
        <w:tc>
          <w:tcPr>
            <w:tcW w:w="111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48端口千兆以太网电接口模块(RJ45)(SA)</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12" w:hRule="atLeast"/>
        </w:trPr>
        <w:tc>
          <w:tcPr>
            <w:tcW w:w="76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MSR5620</w:t>
            </w:r>
          </w:p>
        </w:tc>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H3C RT-MSR5620 路由器</w:t>
            </w:r>
          </w:p>
        </w:tc>
        <w:tc>
          <w:tcPr>
            <w:tcW w:w="3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58,000.00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北京</w:t>
            </w:r>
          </w:p>
        </w:tc>
      </w:tr>
      <w:tr>
        <w:tblPrEx>
          <w:tblCellMar>
            <w:top w:w="0" w:type="dxa"/>
            <w:left w:w="108" w:type="dxa"/>
            <w:bottom w:w="0" w:type="dxa"/>
            <w:right w:w="108" w:type="dxa"/>
          </w:tblCellMar>
        </w:tblPrEx>
        <w:trPr>
          <w:trHeight w:val="312"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S3600V2</w:t>
            </w:r>
          </w:p>
        </w:tc>
        <w:tc>
          <w:tcPr>
            <w:tcW w:w="1111" w:type="pct"/>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S3600V2-52TP-EI</w:t>
            </w:r>
          </w:p>
        </w:tc>
        <w:tc>
          <w:tcPr>
            <w:tcW w:w="34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2025年9月1日</w:t>
            </w:r>
          </w:p>
        </w:tc>
        <w:tc>
          <w:tcPr>
            <w:tcW w:w="91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三方+原厂技术支持 北京</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SG-6000</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SG-6000-E2300（合肥）</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46,000.00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SG-6000</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SG-6000-E2300（合肥）</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46,000.00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S7503</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S7503X</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143,000.00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SR6604</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RT-SR6604-Chassis-H3</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172,500.00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SR6604</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RT-SR6604-Chassis-H3</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172,500.00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S3600</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S3600V2-52TP-EI</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S3600</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H3C RT-MSR3600-51-X1-DP</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AC设备</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AC-1000-B1750-ID</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210,000.00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2025年11月1日</w:t>
            </w:r>
          </w:p>
        </w:tc>
        <w:tc>
          <w:tcPr>
            <w:tcW w:w="9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AC设备</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AC-1000-B1300-AK</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130,000.00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VPN</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aTrust-1000-B1050G-AK</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VPN</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aTrust-1000-B1050G-AK</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100,000.00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AD</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AD-1000-B1800-ID</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110,000.00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AC设备</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AC-1000-B1300-AK</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130,000.00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VPN</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aTrust-1000-B1050C-ID</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300,000.00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AD</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AD-1000-B1800-ID</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110,000.00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VPN</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aTrust-1000-B1050C-ID</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300,000.00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VPLEX</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DELLEMC Vplex 2E Local</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1,140,000.00 </w:t>
            </w:r>
          </w:p>
        </w:tc>
        <w:tc>
          <w:tcPr>
            <w:tcW w:w="108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2026年3月1日</w:t>
            </w:r>
          </w:p>
        </w:tc>
        <w:tc>
          <w:tcPr>
            <w:tcW w:w="916"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存储交换机</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DELLEMC MDS-9148S</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250,000.00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存储主机</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DELLEMC XT Unity480F</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1,320,000.00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存储交换机</w:t>
            </w:r>
          </w:p>
        </w:tc>
        <w:tc>
          <w:tcPr>
            <w:tcW w:w="1111"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DELLEMC MDS-9148S</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250,000.00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288" w:hRule="atLeast"/>
        </w:trPr>
        <w:tc>
          <w:tcPr>
            <w:tcW w:w="766"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虚拟化管理软件</w:t>
            </w:r>
          </w:p>
        </w:tc>
        <w:tc>
          <w:tcPr>
            <w:tcW w:w="1111"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Vmware  vCenter Server Standard 5</w:t>
            </w:r>
          </w:p>
        </w:tc>
        <w:tc>
          <w:tcPr>
            <w:tcW w:w="34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8"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18,000.00 </w:t>
            </w:r>
          </w:p>
        </w:tc>
        <w:tc>
          <w:tcPr>
            <w:tcW w:w="108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2025年9月1日</w:t>
            </w:r>
          </w:p>
        </w:tc>
        <w:tc>
          <w:tcPr>
            <w:tcW w:w="9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2"/>
                <w:highlight w:val="none"/>
              </w:rPr>
              <w:t>三方+原厂技术支持 济南</w:t>
            </w:r>
          </w:p>
        </w:tc>
      </w:tr>
      <w:tr>
        <w:tblPrEx>
          <w:tblCellMar>
            <w:top w:w="0" w:type="dxa"/>
            <w:left w:w="108" w:type="dxa"/>
            <w:bottom w:w="0" w:type="dxa"/>
            <w:right w:w="108" w:type="dxa"/>
          </w:tblCellMar>
        </w:tblPrEx>
        <w:trPr>
          <w:trHeight w:val="288" w:hRule="atLeast"/>
        </w:trPr>
        <w:tc>
          <w:tcPr>
            <w:tcW w:w="766"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虚拟化许可</w:t>
            </w:r>
          </w:p>
        </w:tc>
        <w:tc>
          <w:tcPr>
            <w:tcW w:w="1111"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Vmware  vSphere  Enterprise 5</w:t>
            </w:r>
          </w:p>
        </w:tc>
        <w:tc>
          <w:tcPr>
            <w:tcW w:w="345"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40</w:t>
            </w:r>
          </w:p>
        </w:tc>
        <w:tc>
          <w:tcPr>
            <w:tcW w:w="778"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332,000.00 </w:t>
            </w: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r>
      <w:tr>
        <w:tblPrEx>
          <w:tblCellMar>
            <w:top w:w="0" w:type="dxa"/>
            <w:left w:w="108" w:type="dxa"/>
            <w:bottom w:w="0" w:type="dxa"/>
            <w:right w:w="108" w:type="dxa"/>
          </w:tblCellMar>
        </w:tblPrEx>
        <w:trPr>
          <w:trHeight w:val="312" w:hRule="atLeast"/>
        </w:trPr>
        <w:tc>
          <w:tcPr>
            <w:tcW w:w="76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存储服务器</w:t>
            </w:r>
          </w:p>
        </w:tc>
        <w:tc>
          <w:tcPr>
            <w:tcW w:w="111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C13-PWR-3服务器</w:t>
            </w:r>
          </w:p>
        </w:tc>
        <w:tc>
          <w:tcPr>
            <w:tcW w:w="34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8"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984,000.00 </w:t>
            </w:r>
          </w:p>
        </w:tc>
        <w:tc>
          <w:tcPr>
            <w:tcW w:w="108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2025年9月1日</w:t>
            </w:r>
          </w:p>
        </w:tc>
        <w:tc>
          <w:tcPr>
            <w:tcW w:w="91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原厂服务 济南</w:t>
            </w:r>
          </w:p>
        </w:tc>
      </w:tr>
      <w:tr>
        <w:tblPrEx>
          <w:tblCellMar>
            <w:top w:w="0" w:type="dxa"/>
            <w:left w:w="108" w:type="dxa"/>
            <w:bottom w:w="0" w:type="dxa"/>
            <w:right w:w="108" w:type="dxa"/>
          </w:tblCellMar>
        </w:tblPrEx>
        <w:trPr>
          <w:trHeight w:val="312" w:hRule="atLeast"/>
        </w:trPr>
        <w:tc>
          <w:tcPr>
            <w:tcW w:w="7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3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highlight w:val="none"/>
              </w:rPr>
            </w:pPr>
          </w:p>
        </w:tc>
        <w:tc>
          <w:tcPr>
            <w:tcW w:w="77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c>
          <w:tcPr>
            <w:tcW w:w="108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91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highlight w:val="none"/>
              </w:rPr>
            </w:pPr>
          </w:p>
        </w:tc>
      </w:tr>
      <w:tr>
        <w:tblPrEx>
          <w:tblCellMar>
            <w:top w:w="0" w:type="dxa"/>
            <w:left w:w="108" w:type="dxa"/>
            <w:bottom w:w="0" w:type="dxa"/>
            <w:right w:w="108" w:type="dxa"/>
          </w:tblCellMar>
        </w:tblPrEx>
        <w:trPr>
          <w:trHeight w:val="300" w:hRule="atLeast"/>
        </w:trPr>
        <w:tc>
          <w:tcPr>
            <w:tcW w:w="2222" w:type="pct"/>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合计：</w:t>
            </w:r>
          </w:p>
        </w:tc>
        <w:tc>
          <w:tcPr>
            <w:tcW w:w="7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11,020,700.00 </w:t>
            </w:r>
          </w:p>
        </w:tc>
        <w:tc>
          <w:tcPr>
            <w:tcW w:w="1084"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916"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bl>
    <w:p>
      <w:pPr>
        <w:adjustRightInd w:val="0"/>
        <w:snapToGrid w:val="0"/>
        <w:spacing w:line="360" w:lineRule="auto"/>
        <w:ind w:firstLine="320" w:firstLineChars="100"/>
        <w:rPr>
          <w:rFonts w:ascii="彩虹粗仿宋" w:hAnsi="宋体" w:eastAsia="彩虹粗仿宋"/>
          <w:sz w:val="32"/>
          <w:szCs w:val="32"/>
          <w:highlight w:val="none"/>
        </w:rPr>
      </w:pPr>
    </w:p>
    <w:p>
      <w:pPr>
        <w:pStyle w:val="12"/>
        <w:numPr>
          <w:ilvl w:val="0"/>
          <w:numId w:val="2"/>
        </w:numPr>
        <w:adjustRightInd w:val="0"/>
        <w:snapToGrid w:val="0"/>
        <w:spacing w:line="360" w:lineRule="auto"/>
        <w:ind w:firstLineChars="0"/>
        <w:rPr>
          <w:rFonts w:ascii="彩虹粗仿宋" w:hAnsi="宋体" w:eastAsia="彩虹粗仿宋"/>
          <w:sz w:val="32"/>
          <w:szCs w:val="32"/>
          <w:highlight w:val="none"/>
        </w:rPr>
      </w:pPr>
      <w:r>
        <w:rPr>
          <w:rFonts w:hint="eastAsia" w:ascii="彩虹粗仿宋" w:hAnsi="宋体" w:eastAsia="彩虹粗仿宋"/>
          <w:sz w:val="32"/>
          <w:szCs w:val="32"/>
          <w:highlight w:val="none"/>
        </w:rPr>
        <w:t>维护工作方式</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1</w:t>
      </w:r>
      <w:r>
        <w:rPr>
          <w:rFonts w:ascii="彩虹粗仿宋" w:hAnsi="宋体" w:eastAsia="彩虹粗仿宋"/>
          <w:sz w:val="32"/>
          <w:szCs w:val="32"/>
          <w:highlight w:val="none"/>
        </w:rPr>
        <w:t>.</w:t>
      </w:r>
      <w:r>
        <w:rPr>
          <w:rFonts w:hint="eastAsia" w:ascii="彩虹粗仿宋" w:hAnsi="宋体" w:eastAsia="彩虹粗仿宋"/>
          <w:sz w:val="32"/>
          <w:szCs w:val="32"/>
          <w:highlight w:val="none"/>
        </w:rPr>
        <w:t>根据我司具体情况，提供现场、</w:t>
      </w:r>
      <w:r>
        <w:rPr>
          <w:rFonts w:hint="eastAsia" w:ascii="彩虹粗仿宋" w:eastAsia="彩虹粗仿宋"/>
          <w:bCs/>
          <w:sz w:val="32"/>
          <w:szCs w:val="32"/>
          <w:highlight w:val="none"/>
        </w:rPr>
        <w:t>电话服务（7*24小时）</w:t>
      </w:r>
      <w:r>
        <w:rPr>
          <w:rFonts w:hint="eastAsia" w:ascii="彩虹粗仿宋" w:hAnsi="宋体" w:eastAsia="彩虹粗仿宋"/>
          <w:sz w:val="32"/>
          <w:szCs w:val="32"/>
          <w:highlight w:val="none"/>
        </w:rPr>
        <w:t>、</w:t>
      </w:r>
      <w:r>
        <w:rPr>
          <w:rFonts w:hint="eastAsia" w:ascii="彩虹粗仿宋" w:eastAsia="彩虹粗仿宋"/>
          <w:bCs/>
          <w:sz w:val="32"/>
          <w:szCs w:val="32"/>
          <w:highlight w:val="none"/>
        </w:rPr>
        <w:t>远程问题诊断和支持</w:t>
      </w:r>
      <w:r>
        <w:rPr>
          <w:rFonts w:hint="eastAsia" w:ascii="彩虹粗仿宋" w:hAnsi="宋体" w:eastAsia="彩虹粗仿宋"/>
          <w:sz w:val="32"/>
          <w:szCs w:val="32"/>
          <w:highlight w:val="none"/>
        </w:rPr>
        <w:t>。</w:t>
      </w:r>
    </w:p>
    <w:p>
      <w:pPr>
        <w:adjustRightInd w:val="0"/>
        <w:snapToGrid w:val="0"/>
        <w:spacing w:line="360" w:lineRule="auto"/>
        <w:ind w:firstLine="640" w:firstLineChars="200"/>
        <w:rPr>
          <w:rFonts w:ascii="彩虹粗仿宋" w:hAnsi="宋体" w:eastAsia="彩虹粗仿宋"/>
          <w:sz w:val="32"/>
          <w:szCs w:val="32"/>
          <w:highlight w:val="none"/>
        </w:rPr>
      </w:pPr>
      <w:r>
        <w:rPr>
          <w:rFonts w:ascii="彩虹粗仿宋" w:hAnsi="宋体" w:eastAsia="彩虹粗仿宋"/>
          <w:sz w:val="32"/>
          <w:szCs w:val="32"/>
          <w:highlight w:val="none"/>
        </w:rPr>
        <w:t>2.</w:t>
      </w:r>
      <w:r>
        <w:rPr>
          <w:rFonts w:hint="eastAsia" w:ascii="彩虹粗仿宋" w:hAnsi="宋体" w:eastAsia="彩虹粗仿宋"/>
          <w:sz w:val="32"/>
          <w:szCs w:val="32"/>
          <w:highlight w:val="none"/>
        </w:rPr>
        <w:t>按照我司要求在特殊时间段可提供现场技术支持。</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四、故障事件级别定义及响应处理的承诺。</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1.故障定义：</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按故障解决时效分类：</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紧急故障：当出现有业务影响的故障或告警时。</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按故障严重程度分类：</w:t>
      </w:r>
      <w:r>
        <w:rPr>
          <w:rFonts w:hint="eastAsia" w:ascii="彩虹粗仿宋" w:hAnsi="宋体" w:eastAsia="彩虹粗仿宋" w:cs="宋体"/>
          <w:sz w:val="32"/>
          <w:szCs w:val="32"/>
          <w:highlight w:val="none"/>
        </w:rPr>
        <w:tab/>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“严重”为设备无法运行或基本无法运行，或设备重要功能失效或基本失效；</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“一般”为设备可以运行，但非重要性功能的使用受到限制；</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“轻微”为其它轻微影响设备使用的故障。</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2．乙方应提供7×24小时电话响应服务，</w:t>
      </w:r>
      <w:r>
        <w:rPr>
          <w:rFonts w:hint="eastAsia" w:ascii="彩虹粗仿宋" w:hAnsi="宋体" w:eastAsia="彩虹粗仿宋" w:cs="宋体"/>
          <w:kern w:val="0"/>
          <w:sz w:val="32"/>
          <w:szCs w:val="32"/>
          <w:highlight w:val="none"/>
        </w:rPr>
        <w:t>紧急故障10分钟内给予有意义的建议，30分钟内定位故障原因，咨询类需在</w:t>
      </w:r>
      <w:r>
        <w:rPr>
          <w:rFonts w:ascii="彩虹粗仿宋" w:hAnsi="宋体" w:eastAsia="彩虹粗仿宋" w:cs="宋体"/>
          <w:kern w:val="0"/>
          <w:sz w:val="32"/>
          <w:szCs w:val="32"/>
          <w:highlight w:val="none"/>
        </w:rPr>
        <w:t>1</w:t>
      </w:r>
      <w:r>
        <w:rPr>
          <w:rFonts w:hint="eastAsia" w:ascii="彩虹粗仿宋" w:hAnsi="宋体" w:eastAsia="彩虹粗仿宋" w:cs="宋体"/>
          <w:kern w:val="0"/>
          <w:sz w:val="32"/>
          <w:szCs w:val="32"/>
          <w:highlight w:val="none"/>
        </w:rPr>
        <w:t>小时内给予响应</w:t>
      </w:r>
      <w:r>
        <w:rPr>
          <w:rFonts w:hint="eastAsia" w:ascii="彩虹粗仿宋" w:hAnsi="宋体" w:eastAsia="彩虹粗仿宋" w:cs="宋体"/>
          <w:sz w:val="32"/>
          <w:szCs w:val="32"/>
          <w:highlight w:val="none"/>
        </w:rPr>
        <w:t>。</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若一般及严重故障，故障设备在北京、济南的，应根据我司需求，在4小时内到场协查。</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hint="eastAsia" w:ascii="彩虹粗仿宋" w:hAnsi="宋体" w:eastAsia="彩虹粗仿宋" w:cs="宋体"/>
          <w:sz w:val="32"/>
          <w:szCs w:val="32"/>
          <w:highlight w:val="none"/>
        </w:rPr>
        <w:t>3．对于一般和严重故障，甲方可要求乙方将故障设备进行返厂检测并提交检测报告。</w:t>
      </w:r>
    </w:p>
    <w:p>
      <w:pPr>
        <w:adjustRightInd w:val="0"/>
        <w:snapToGrid w:val="0"/>
        <w:spacing w:line="360" w:lineRule="auto"/>
        <w:ind w:firstLine="640" w:firstLineChars="200"/>
        <w:rPr>
          <w:rFonts w:ascii="彩虹粗仿宋" w:hAnsi="宋体" w:eastAsia="彩虹粗仿宋" w:cs="宋体"/>
          <w:sz w:val="32"/>
          <w:szCs w:val="32"/>
          <w:highlight w:val="none"/>
        </w:rPr>
      </w:pPr>
      <w:r>
        <w:rPr>
          <w:rFonts w:ascii="彩虹粗仿宋" w:hAnsi="宋体" w:eastAsia="彩虹粗仿宋" w:cs="宋体"/>
          <w:sz w:val="32"/>
          <w:szCs w:val="32"/>
          <w:highlight w:val="none"/>
        </w:rPr>
        <w:t>4、</w:t>
      </w:r>
      <w:r>
        <w:rPr>
          <w:rFonts w:hint="eastAsia" w:ascii="彩虹粗仿宋" w:hAnsi="宋体" w:eastAsia="彩虹粗仿宋" w:cs="宋体"/>
          <w:kern w:val="0"/>
          <w:sz w:val="32"/>
          <w:szCs w:val="32"/>
          <w:highlight w:val="none"/>
        </w:rPr>
        <w:t>当设备出现硬件事故时，由乙方提供无故障备件</w:t>
      </w:r>
      <w:r>
        <w:rPr>
          <w:rFonts w:ascii="彩虹粗仿宋" w:hAnsi="宋体" w:eastAsia="彩虹粗仿宋" w:cs="宋体"/>
          <w:kern w:val="0"/>
          <w:sz w:val="32"/>
          <w:szCs w:val="32"/>
          <w:highlight w:val="none"/>
        </w:rPr>
        <w:t xml:space="preserve">, </w:t>
      </w:r>
      <w:r>
        <w:rPr>
          <w:rFonts w:hint="eastAsia" w:ascii="彩虹粗仿宋" w:hAnsi="宋体" w:eastAsia="彩虹粗仿宋" w:cs="宋体"/>
          <w:kern w:val="0"/>
          <w:sz w:val="32"/>
          <w:szCs w:val="32"/>
          <w:highlight w:val="none"/>
        </w:rPr>
        <w:t>保证甲方设备的正常运行。甲方采购设备服务等级为</w:t>
      </w:r>
      <w:r>
        <w:rPr>
          <w:rFonts w:ascii="彩虹粗仿宋" w:hAnsi="宋体" w:eastAsia="彩虹粗仿宋" w:cs="宋体"/>
          <w:kern w:val="0"/>
          <w:sz w:val="32"/>
          <w:szCs w:val="32"/>
          <w:highlight w:val="none"/>
        </w:rPr>
        <w:t>7*24，如果确认硬件故障</w:t>
      </w:r>
      <w:r>
        <w:rPr>
          <w:rFonts w:hint="eastAsia" w:ascii="彩虹粗仿宋" w:hAnsi="宋体" w:eastAsia="彩虹粗仿宋" w:cs="宋体"/>
          <w:kern w:val="0"/>
          <w:sz w:val="32"/>
          <w:szCs w:val="32"/>
          <w:highlight w:val="none"/>
        </w:rPr>
        <w:t>，则乙方必须在第二个自然日内送达备件，协助进行设备更换。</w:t>
      </w:r>
      <w:r>
        <w:rPr>
          <w:rFonts w:hint="eastAsia" w:ascii="彩虹粗仿宋" w:hAnsi="宋体" w:eastAsia="彩虹粗仿宋" w:cs="宋体"/>
          <w:sz w:val="32"/>
          <w:szCs w:val="32"/>
          <w:highlight w:val="none"/>
        </w:rPr>
        <w:t xml:space="preserve"> </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服务商提供设备维护服务方案，提供全面覆盖我司维保设备的备件库，并按照要求进行设备更换，保障公司网络与系统的连续性运行。</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五、供应商维护服务人员的数量、资质经验、角色等方面的要求。</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1</w:t>
      </w:r>
      <w:r>
        <w:rPr>
          <w:rFonts w:ascii="彩虹粗仿宋" w:hAnsi="宋体" w:eastAsia="彩虹粗仿宋"/>
          <w:sz w:val="32"/>
          <w:szCs w:val="32"/>
          <w:highlight w:val="none"/>
        </w:rPr>
        <w:t>.</w:t>
      </w:r>
      <w:r>
        <w:rPr>
          <w:rFonts w:hint="eastAsia" w:ascii="彩虹粗仿宋" w:hAnsi="宋体" w:eastAsia="彩虹粗仿宋"/>
          <w:sz w:val="32"/>
          <w:szCs w:val="32"/>
          <w:highlight w:val="none"/>
        </w:rPr>
        <w:t>乙方需指定1名资深人员（拥有</w:t>
      </w:r>
      <w:r>
        <w:rPr>
          <w:rFonts w:ascii="彩虹粗仿宋" w:hAnsi="宋体" w:eastAsia="彩虹粗仿宋"/>
          <w:sz w:val="32"/>
          <w:szCs w:val="32"/>
          <w:highlight w:val="none"/>
        </w:rPr>
        <w:t>8</w:t>
      </w:r>
      <w:r>
        <w:rPr>
          <w:rFonts w:hint="eastAsia" w:ascii="彩虹粗仿宋" w:hAnsi="宋体" w:eastAsia="彩虹粗仿宋"/>
          <w:sz w:val="32"/>
          <w:szCs w:val="32"/>
          <w:highlight w:val="none"/>
        </w:rPr>
        <w:t>年以上网络与系统运维与设计经验）作为本项目的服务工程师，作为与甲方的接口人员，负责管理所有技术问题、现场支持、协调后台专家资源。</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2．乙方服务工程师要服从甲方的管理，自觉遵守甲方出入机房、系统维护、运行管理、安全保密的相关规章制度。乙方服务工程师的资质需得到我司认可后方可开始工作，甲方有权要求更换服务工程师。</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3</w:t>
      </w:r>
      <w:r>
        <w:rPr>
          <w:rFonts w:ascii="彩虹粗仿宋" w:hAnsi="宋体" w:eastAsia="彩虹粗仿宋"/>
          <w:sz w:val="32"/>
          <w:szCs w:val="32"/>
          <w:highlight w:val="none"/>
        </w:rPr>
        <w:t>.</w:t>
      </w:r>
      <w:r>
        <w:rPr>
          <w:rFonts w:hint="eastAsia" w:ascii="彩虹粗仿宋" w:hAnsi="宋体" w:eastAsia="彩虹粗仿宋"/>
          <w:sz w:val="32"/>
          <w:szCs w:val="32"/>
          <w:highlight w:val="none"/>
        </w:rPr>
        <w:t>乙方能提供网络与系统运维工程师不少于</w:t>
      </w:r>
      <w:r>
        <w:rPr>
          <w:rFonts w:ascii="彩虹粗仿宋" w:hAnsi="宋体" w:eastAsia="彩虹粗仿宋"/>
          <w:sz w:val="32"/>
          <w:szCs w:val="32"/>
          <w:highlight w:val="none"/>
        </w:rPr>
        <w:t>3</w:t>
      </w:r>
      <w:r>
        <w:rPr>
          <w:rFonts w:hint="eastAsia" w:ascii="彩虹粗仿宋" w:hAnsi="宋体" w:eastAsia="彩虹粗仿宋"/>
          <w:sz w:val="32"/>
          <w:szCs w:val="32"/>
          <w:highlight w:val="none"/>
        </w:rPr>
        <w:t>名，具备</w:t>
      </w:r>
      <w:r>
        <w:rPr>
          <w:rFonts w:ascii="彩虹粗仿宋" w:hAnsi="宋体" w:eastAsia="彩虹粗仿宋"/>
          <w:sz w:val="32"/>
          <w:szCs w:val="32"/>
          <w:highlight w:val="none"/>
        </w:rPr>
        <w:t>5</w:t>
      </w:r>
      <w:r>
        <w:rPr>
          <w:rFonts w:hint="eastAsia" w:ascii="彩虹粗仿宋" w:hAnsi="宋体" w:eastAsia="彩虹粗仿宋"/>
          <w:sz w:val="32"/>
          <w:szCs w:val="32"/>
          <w:highlight w:val="none"/>
        </w:rPr>
        <w:t>年以上的网络与系统实施经验。</w:t>
      </w:r>
    </w:p>
    <w:p>
      <w:pPr>
        <w:adjustRightInd w:val="0"/>
        <w:snapToGrid w:val="0"/>
        <w:spacing w:line="360" w:lineRule="auto"/>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sz w:val="32"/>
          <w:szCs w:val="32"/>
          <w:highlight w:val="none"/>
        </w:rPr>
        <w:t>六、</w:t>
      </w:r>
      <w:r>
        <w:rPr>
          <w:rFonts w:hint="eastAsia" w:ascii="彩虹粗仿宋" w:hAnsi="宋体" w:eastAsia="彩虹粗仿宋" w:cs="Times New Roman"/>
          <w:snapToGrid w:val="0"/>
          <w:kern w:val="0"/>
          <w:sz w:val="32"/>
          <w:szCs w:val="32"/>
          <w:highlight w:val="none"/>
        </w:rPr>
        <w:t>款项支付要求</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签订合同后支付3</w:t>
      </w:r>
      <w:r>
        <w:rPr>
          <w:rFonts w:ascii="彩虹粗仿宋" w:hAnsi="宋体" w:eastAsia="彩虹粗仿宋"/>
          <w:sz w:val="32"/>
          <w:szCs w:val="32"/>
          <w:highlight w:val="none"/>
        </w:rPr>
        <w:t>0%</w:t>
      </w:r>
      <w:r>
        <w:rPr>
          <w:rFonts w:hint="eastAsia" w:ascii="彩虹粗仿宋" w:hAnsi="宋体" w:eastAsia="彩虹粗仿宋"/>
          <w:sz w:val="32"/>
          <w:szCs w:val="32"/>
          <w:highlight w:val="none"/>
        </w:rPr>
        <w:t>，执行6个月后支付3</w:t>
      </w:r>
      <w:r>
        <w:rPr>
          <w:rFonts w:ascii="彩虹粗仿宋" w:hAnsi="宋体" w:eastAsia="彩虹粗仿宋"/>
          <w:sz w:val="32"/>
          <w:szCs w:val="32"/>
          <w:highlight w:val="none"/>
        </w:rPr>
        <w:t>0%</w:t>
      </w:r>
      <w:r>
        <w:rPr>
          <w:rFonts w:hint="eastAsia" w:ascii="彩虹粗仿宋" w:hAnsi="宋体" w:eastAsia="彩虹粗仿宋"/>
          <w:sz w:val="32"/>
          <w:szCs w:val="32"/>
          <w:highlight w:val="none"/>
        </w:rPr>
        <w:t>，合同执行完毕后支付4</w:t>
      </w:r>
      <w:r>
        <w:rPr>
          <w:rFonts w:ascii="彩虹粗仿宋" w:hAnsi="宋体" w:eastAsia="彩虹粗仿宋"/>
          <w:sz w:val="32"/>
          <w:szCs w:val="32"/>
          <w:highlight w:val="none"/>
        </w:rPr>
        <w:t>0%</w:t>
      </w:r>
      <w:r>
        <w:rPr>
          <w:rFonts w:hint="eastAsia" w:ascii="彩虹粗仿宋" w:hAnsi="宋体" w:eastAsia="彩虹粗仿宋"/>
          <w:sz w:val="32"/>
          <w:szCs w:val="32"/>
          <w:highlight w:val="none"/>
        </w:rPr>
        <w:t>。</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七、工作成果要求</w:t>
      </w:r>
    </w:p>
    <w:p>
      <w:pPr>
        <w:adjustRightInd w:val="0"/>
        <w:snapToGrid w:val="0"/>
        <w:spacing w:line="360" w:lineRule="auto"/>
        <w:ind w:firstLine="640" w:firstLineChars="200"/>
        <w:rPr>
          <w:rFonts w:ascii="彩虹粗仿宋" w:hAnsi="宋体" w:eastAsia="彩虹粗仿宋"/>
          <w:color w:val="000000" w:themeColor="text1"/>
          <w:sz w:val="32"/>
          <w:szCs w:val="32"/>
          <w:highlight w:val="none"/>
          <w14:textFill>
            <w14:solidFill>
              <w14:schemeClr w14:val="tx1"/>
            </w14:solidFill>
          </w14:textFill>
        </w:rPr>
      </w:pPr>
      <w:r>
        <w:rPr>
          <w:rFonts w:hint="eastAsia" w:ascii="彩虹粗仿宋" w:hAnsi="宋体" w:eastAsia="彩虹粗仿宋"/>
          <w:color w:val="000000" w:themeColor="text1"/>
          <w:sz w:val="32"/>
          <w:szCs w:val="32"/>
          <w:highlight w:val="none"/>
          <w14:textFill>
            <w14:solidFill>
              <w14:schemeClr w14:val="tx1"/>
            </w14:solidFill>
          </w14:textFill>
        </w:rPr>
        <w:t>保障公司维保设备的正常运转，如出现故障，快速进行设备维修与更换，不能影响公司业务开展，每季度进行设备巡检，提交相应巡检报告。</w:t>
      </w:r>
    </w:p>
    <w:p>
      <w:pPr>
        <w:adjustRightInd w:val="0"/>
        <w:snapToGrid w:val="0"/>
        <w:spacing w:line="360" w:lineRule="auto"/>
        <w:ind w:firstLine="640" w:firstLineChars="200"/>
        <w:rPr>
          <w:rFonts w:ascii="彩虹粗仿宋" w:hAnsi="宋体" w:eastAsia="彩虹粗仿宋"/>
          <w:sz w:val="32"/>
          <w:szCs w:val="32"/>
          <w:highlight w:val="none"/>
        </w:rPr>
      </w:pPr>
      <w:r>
        <w:rPr>
          <w:rFonts w:ascii="彩虹粗仿宋" w:hAnsi="宋体" w:eastAsia="彩虹粗仿宋"/>
          <w:sz w:val="32"/>
          <w:szCs w:val="32"/>
          <w:highlight w:val="none"/>
        </w:rPr>
        <w:t>八、采购服务的期限</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eastAsia="彩虹粗仿宋"/>
          <w:sz w:val="32"/>
          <w:szCs w:val="32"/>
          <w:highlight w:val="none"/>
        </w:rPr>
        <w:t>1年，202</w:t>
      </w:r>
      <w:r>
        <w:rPr>
          <w:rFonts w:ascii="彩虹粗仿宋" w:eastAsia="彩虹粗仿宋"/>
          <w:sz w:val="32"/>
          <w:szCs w:val="32"/>
          <w:highlight w:val="none"/>
        </w:rPr>
        <w:t>5</w:t>
      </w:r>
      <w:r>
        <w:rPr>
          <w:rFonts w:hint="eastAsia" w:ascii="彩虹粗仿宋" w:eastAsia="彩虹粗仿宋"/>
          <w:sz w:val="32"/>
          <w:szCs w:val="32"/>
          <w:highlight w:val="none"/>
        </w:rPr>
        <w:t>年9月1日至202</w:t>
      </w:r>
      <w:r>
        <w:rPr>
          <w:rFonts w:ascii="彩虹粗仿宋" w:eastAsia="彩虹粗仿宋"/>
          <w:sz w:val="32"/>
          <w:szCs w:val="32"/>
          <w:highlight w:val="none"/>
        </w:rPr>
        <w:t>6</w:t>
      </w:r>
      <w:r>
        <w:rPr>
          <w:rFonts w:hint="eastAsia" w:ascii="彩虹粗仿宋" w:eastAsia="彩虹粗仿宋"/>
          <w:sz w:val="32"/>
          <w:szCs w:val="32"/>
          <w:highlight w:val="none"/>
        </w:rPr>
        <w:t>年8月31日，部分新增设备，按照实际维保开始日期，统一结束至2</w:t>
      </w:r>
      <w:r>
        <w:rPr>
          <w:rFonts w:ascii="彩虹粗仿宋" w:eastAsia="彩虹粗仿宋"/>
          <w:sz w:val="32"/>
          <w:szCs w:val="32"/>
          <w:highlight w:val="none"/>
        </w:rPr>
        <w:t>026</w:t>
      </w:r>
      <w:r>
        <w:rPr>
          <w:rFonts w:hint="eastAsia" w:ascii="彩虹粗仿宋" w:eastAsia="彩虹粗仿宋"/>
          <w:sz w:val="32"/>
          <w:szCs w:val="32"/>
          <w:highlight w:val="none"/>
        </w:rPr>
        <w:t>年8月3</w:t>
      </w:r>
      <w:r>
        <w:rPr>
          <w:rFonts w:ascii="彩虹粗仿宋" w:eastAsia="彩虹粗仿宋"/>
          <w:sz w:val="32"/>
          <w:szCs w:val="32"/>
          <w:highlight w:val="none"/>
        </w:rPr>
        <w:t>1</w:t>
      </w:r>
      <w:r>
        <w:rPr>
          <w:rFonts w:hint="eastAsia" w:ascii="彩虹粗仿宋" w:eastAsia="彩虹粗仿宋"/>
          <w:sz w:val="32"/>
          <w:szCs w:val="32"/>
          <w:highlight w:val="none"/>
        </w:rPr>
        <w:t>日。</w:t>
      </w:r>
      <w:r>
        <w:rPr>
          <w:rFonts w:hint="eastAsia" w:ascii="彩虹粗仿宋" w:eastAsia="彩虹粗仿宋"/>
          <w:color w:val="000000" w:themeColor="text1"/>
          <w:sz w:val="32"/>
          <w:szCs w:val="32"/>
          <w:highlight w:val="none"/>
          <w14:textFill>
            <w14:solidFill>
              <w14:schemeClr w14:val="tx1"/>
            </w14:solidFill>
          </w14:textFill>
        </w:rPr>
        <w:t>如上述维保设备出现故障，集成商制定应急处理方案，保障在</w:t>
      </w:r>
      <w:r>
        <w:rPr>
          <w:rFonts w:hint="eastAsia" w:ascii="彩虹粗仿宋" w:hAnsi="宋体" w:eastAsia="彩虹粗仿宋" w:cs="宋体"/>
          <w:kern w:val="0"/>
          <w:sz w:val="32"/>
          <w:szCs w:val="32"/>
          <w:highlight w:val="none"/>
        </w:rPr>
        <w:t>第二个自然日内</w:t>
      </w:r>
      <w:r>
        <w:rPr>
          <w:rFonts w:hint="eastAsia" w:ascii="彩虹粗仿宋" w:eastAsia="彩虹粗仿宋"/>
          <w:color w:val="000000" w:themeColor="text1"/>
          <w:sz w:val="32"/>
          <w:szCs w:val="32"/>
          <w:highlight w:val="none"/>
          <w14:textFill>
            <w14:solidFill>
              <w14:schemeClr w14:val="tx1"/>
            </w14:solidFill>
          </w14:textFill>
        </w:rPr>
        <w:t>，携带备件现场进行设备更换；如需进行设备升级，需按照我司的要求进行升级。</w:t>
      </w:r>
    </w:p>
    <w:p>
      <w:pPr>
        <w:adjustRightInd w:val="0"/>
        <w:snapToGrid w:val="0"/>
        <w:spacing w:line="360" w:lineRule="auto"/>
        <w:ind w:firstLine="640" w:firstLineChars="200"/>
        <w:rPr>
          <w:rFonts w:ascii="彩虹粗仿宋" w:hAnsi="宋体" w:eastAsia="彩虹粗仿宋"/>
          <w:sz w:val="32"/>
          <w:szCs w:val="32"/>
          <w:highlight w:val="none"/>
        </w:rPr>
      </w:pPr>
      <w:r>
        <w:rPr>
          <w:rFonts w:ascii="彩虹粗仿宋" w:hAnsi="宋体" w:eastAsia="彩虹粗仿宋"/>
          <w:sz w:val="32"/>
          <w:szCs w:val="32"/>
          <w:highlight w:val="none"/>
        </w:rPr>
        <w:t>九</w:t>
      </w:r>
      <w:r>
        <w:rPr>
          <w:rFonts w:hint="eastAsia" w:ascii="彩虹粗仿宋" w:hAnsi="宋体" w:eastAsia="彩虹粗仿宋"/>
          <w:sz w:val="32"/>
          <w:szCs w:val="32"/>
          <w:highlight w:val="none"/>
        </w:rPr>
        <w:t>、其他要求：</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具备ISO20000、业务连续性管理体系认证、信息技术服务管理体系资质。</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具备DELLEMC T1级别及以上的代理资质。</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具备H3C一级代理及以上的代理资质。</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提供（</w:t>
      </w:r>
      <w:r>
        <w:rPr>
          <w:rFonts w:ascii="彩虹粗仿宋" w:hAnsi="宋体" w:eastAsia="彩虹粗仿宋"/>
          <w:sz w:val="32"/>
          <w:szCs w:val="32"/>
          <w:highlight w:val="none"/>
        </w:rPr>
        <w:t>DELLEMC</w:t>
      </w:r>
      <w:r>
        <w:rPr>
          <w:rFonts w:hint="eastAsia" w:ascii="彩虹粗仿宋" w:hAnsi="宋体" w:eastAsia="彩虹粗仿宋"/>
          <w:sz w:val="32"/>
          <w:szCs w:val="32"/>
          <w:highlight w:val="none"/>
        </w:rPr>
        <w:t>/深信服）设备厂商针对本项目的授权</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服务期间要求供应商提供备件，存放在我公司。具体为H3C7506交换机1台、防火墙2台（能替换我司现运行的防护墙）。</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每次巡检完毕后，针对我司设备运行情况，提出相应建议，并协助我司人员进行相应的整改方案。</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sz w:val="32"/>
          <w:szCs w:val="32"/>
          <w:highlight w:val="none"/>
        </w:rPr>
        <w:t>十、</w:t>
      </w:r>
      <w:r>
        <w:rPr>
          <w:rFonts w:hint="eastAsia" w:ascii="彩虹粗仿宋" w:hAnsi="宋体" w:eastAsia="彩虹粗仿宋" w:cs="Times New Roman"/>
          <w:snapToGrid w:val="0"/>
          <w:kern w:val="0"/>
          <w:sz w:val="32"/>
          <w:szCs w:val="32"/>
          <w:highlight w:val="none"/>
        </w:rPr>
        <w:t>报价要求</w:t>
      </w:r>
    </w:p>
    <w:p>
      <w:pPr>
        <w:adjustRightInd w:val="0"/>
        <w:snapToGrid w:val="0"/>
        <w:spacing w:line="360" w:lineRule="auto"/>
        <w:ind w:firstLine="640" w:firstLineChars="200"/>
        <w:rPr>
          <w:rFonts w:ascii="彩虹粗仿宋" w:hAnsi="宋体" w:eastAsia="彩虹粗仿宋"/>
          <w:sz w:val="32"/>
          <w:szCs w:val="32"/>
          <w:highlight w:val="none"/>
        </w:rPr>
      </w:pPr>
      <w:r>
        <w:rPr>
          <w:rFonts w:hint="eastAsia" w:ascii="彩虹粗仿宋" w:hAnsi="宋体" w:eastAsia="彩虹粗仿宋" w:cs="Times New Roman"/>
          <w:snapToGrid w:val="0"/>
          <w:kern w:val="0"/>
          <w:sz w:val="32"/>
          <w:szCs w:val="32"/>
          <w:highlight w:val="none"/>
        </w:rPr>
        <w:t>报价包含服务人员的人工成本、管理成本以及为完成服务可能发生的一切费用。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4ED"/>
    <w:multiLevelType w:val="multilevel"/>
    <w:tmpl w:val="089034ED"/>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16876DE"/>
    <w:multiLevelType w:val="multilevel"/>
    <w:tmpl w:val="116876DE"/>
    <w:lvl w:ilvl="0" w:tentative="0">
      <w:start w:val="1"/>
      <w:numFmt w:val="japaneseCounting"/>
      <w:lvlText w:val="%1、"/>
      <w:lvlJc w:val="left"/>
      <w:pPr>
        <w:ind w:left="720" w:hanging="720"/>
      </w:pPr>
      <w:rPr>
        <w:rFonts w:hint="default"/>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聂晓慧">
    <w15:presenceInfo w15:providerId="None" w15:userId="聂晓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9E"/>
    <w:rsid w:val="0005673C"/>
    <w:rsid w:val="00075220"/>
    <w:rsid w:val="000754D2"/>
    <w:rsid w:val="00080C77"/>
    <w:rsid w:val="00083E61"/>
    <w:rsid w:val="000901D3"/>
    <w:rsid w:val="000A5484"/>
    <w:rsid w:val="000B13AC"/>
    <w:rsid w:val="000E2627"/>
    <w:rsid w:val="0014523D"/>
    <w:rsid w:val="001466DB"/>
    <w:rsid w:val="00195FB5"/>
    <w:rsid w:val="001B0CBF"/>
    <w:rsid w:val="001D38B3"/>
    <w:rsid w:val="00206BCF"/>
    <w:rsid w:val="00207FA5"/>
    <w:rsid w:val="00240C71"/>
    <w:rsid w:val="00255832"/>
    <w:rsid w:val="00265281"/>
    <w:rsid w:val="002A04FB"/>
    <w:rsid w:val="002A1B98"/>
    <w:rsid w:val="002A1DC4"/>
    <w:rsid w:val="002A237D"/>
    <w:rsid w:val="002A4DC5"/>
    <w:rsid w:val="002C1A78"/>
    <w:rsid w:val="002C5C69"/>
    <w:rsid w:val="002D5CBA"/>
    <w:rsid w:val="002E5FC2"/>
    <w:rsid w:val="00304859"/>
    <w:rsid w:val="0034773B"/>
    <w:rsid w:val="003970BE"/>
    <w:rsid w:val="003A4F92"/>
    <w:rsid w:val="003D6246"/>
    <w:rsid w:val="003E316D"/>
    <w:rsid w:val="003E4D12"/>
    <w:rsid w:val="0040611B"/>
    <w:rsid w:val="00412045"/>
    <w:rsid w:val="00434562"/>
    <w:rsid w:val="004401AD"/>
    <w:rsid w:val="00443594"/>
    <w:rsid w:val="00492207"/>
    <w:rsid w:val="00496EA8"/>
    <w:rsid w:val="004A0791"/>
    <w:rsid w:val="004C4ADE"/>
    <w:rsid w:val="004F772A"/>
    <w:rsid w:val="0050580D"/>
    <w:rsid w:val="00515DF8"/>
    <w:rsid w:val="005224E9"/>
    <w:rsid w:val="00534C66"/>
    <w:rsid w:val="00541B23"/>
    <w:rsid w:val="005459DF"/>
    <w:rsid w:val="00550C87"/>
    <w:rsid w:val="00563656"/>
    <w:rsid w:val="0059355E"/>
    <w:rsid w:val="005B09DF"/>
    <w:rsid w:val="005C5355"/>
    <w:rsid w:val="005D2A71"/>
    <w:rsid w:val="005E5F9E"/>
    <w:rsid w:val="006122D9"/>
    <w:rsid w:val="00617D3D"/>
    <w:rsid w:val="00625B2E"/>
    <w:rsid w:val="0063595F"/>
    <w:rsid w:val="00645591"/>
    <w:rsid w:val="006602FE"/>
    <w:rsid w:val="00662C1B"/>
    <w:rsid w:val="006915FE"/>
    <w:rsid w:val="006965EC"/>
    <w:rsid w:val="006A7B09"/>
    <w:rsid w:val="006B4E00"/>
    <w:rsid w:val="006B6711"/>
    <w:rsid w:val="006C423C"/>
    <w:rsid w:val="006C6666"/>
    <w:rsid w:val="006E0A82"/>
    <w:rsid w:val="006F0EBD"/>
    <w:rsid w:val="006F2B9E"/>
    <w:rsid w:val="00720880"/>
    <w:rsid w:val="007258CF"/>
    <w:rsid w:val="0074521B"/>
    <w:rsid w:val="007800D2"/>
    <w:rsid w:val="00807C60"/>
    <w:rsid w:val="008349FE"/>
    <w:rsid w:val="00865739"/>
    <w:rsid w:val="0088030B"/>
    <w:rsid w:val="00881B0E"/>
    <w:rsid w:val="008915DB"/>
    <w:rsid w:val="008934D0"/>
    <w:rsid w:val="008966CB"/>
    <w:rsid w:val="008A5B58"/>
    <w:rsid w:val="00923E98"/>
    <w:rsid w:val="009421EB"/>
    <w:rsid w:val="009540CA"/>
    <w:rsid w:val="00976681"/>
    <w:rsid w:val="00980660"/>
    <w:rsid w:val="0099210A"/>
    <w:rsid w:val="009B409E"/>
    <w:rsid w:val="009B688F"/>
    <w:rsid w:val="009E7537"/>
    <w:rsid w:val="00A04CC7"/>
    <w:rsid w:val="00A236C7"/>
    <w:rsid w:val="00A50ACD"/>
    <w:rsid w:val="00A56141"/>
    <w:rsid w:val="00A62300"/>
    <w:rsid w:val="00A64DCE"/>
    <w:rsid w:val="00A90913"/>
    <w:rsid w:val="00A90914"/>
    <w:rsid w:val="00A975BC"/>
    <w:rsid w:val="00AB381A"/>
    <w:rsid w:val="00AF0F83"/>
    <w:rsid w:val="00AF2893"/>
    <w:rsid w:val="00AF2AA2"/>
    <w:rsid w:val="00B0123B"/>
    <w:rsid w:val="00B0136C"/>
    <w:rsid w:val="00B22EC2"/>
    <w:rsid w:val="00B3294E"/>
    <w:rsid w:val="00B50E42"/>
    <w:rsid w:val="00B51478"/>
    <w:rsid w:val="00B53C1F"/>
    <w:rsid w:val="00B67004"/>
    <w:rsid w:val="00B71ADA"/>
    <w:rsid w:val="00B756C4"/>
    <w:rsid w:val="00B951BE"/>
    <w:rsid w:val="00BC174A"/>
    <w:rsid w:val="00BC302D"/>
    <w:rsid w:val="00BD3FF4"/>
    <w:rsid w:val="00BF4C2E"/>
    <w:rsid w:val="00C079E9"/>
    <w:rsid w:val="00C150A2"/>
    <w:rsid w:val="00C8577D"/>
    <w:rsid w:val="00C94F80"/>
    <w:rsid w:val="00C94F8D"/>
    <w:rsid w:val="00CA129B"/>
    <w:rsid w:val="00CB6EA1"/>
    <w:rsid w:val="00CC55DA"/>
    <w:rsid w:val="00CD1256"/>
    <w:rsid w:val="00CD2674"/>
    <w:rsid w:val="00CD7313"/>
    <w:rsid w:val="00CE0BF8"/>
    <w:rsid w:val="00CE2C9B"/>
    <w:rsid w:val="00D02840"/>
    <w:rsid w:val="00D334A7"/>
    <w:rsid w:val="00DA60C1"/>
    <w:rsid w:val="00DF24D7"/>
    <w:rsid w:val="00E0177E"/>
    <w:rsid w:val="00E11781"/>
    <w:rsid w:val="00E22B1A"/>
    <w:rsid w:val="00E23070"/>
    <w:rsid w:val="00E260B9"/>
    <w:rsid w:val="00E34313"/>
    <w:rsid w:val="00E42A78"/>
    <w:rsid w:val="00E602C1"/>
    <w:rsid w:val="00E60EE2"/>
    <w:rsid w:val="00E84CE6"/>
    <w:rsid w:val="00E91CE5"/>
    <w:rsid w:val="00E975AD"/>
    <w:rsid w:val="00EE656C"/>
    <w:rsid w:val="00EF5350"/>
    <w:rsid w:val="00F06BEE"/>
    <w:rsid w:val="00F3488F"/>
    <w:rsid w:val="00F64345"/>
    <w:rsid w:val="00F70B12"/>
    <w:rsid w:val="00F7437F"/>
    <w:rsid w:val="00F851B2"/>
    <w:rsid w:val="00FC1B26"/>
    <w:rsid w:val="00FC42C2"/>
    <w:rsid w:val="00FE610C"/>
    <w:rsid w:val="0B8B7775"/>
    <w:rsid w:val="0C9E6555"/>
    <w:rsid w:val="0EC36D5E"/>
    <w:rsid w:val="133F226E"/>
    <w:rsid w:val="3918126A"/>
    <w:rsid w:val="39572709"/>
    <w:rsid w:val="3A9B2C95"/>
    <w:rsid w:val="491673C3"/>
    <w:rsid w:val="5E305685"/>
    <w:rsid w:val="62581153"/>
    <w:rsid w:val="7A5A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01"/>
    <w:basedOn w:val="8"/>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2A060-04B5-4D5C-8DDD-18ED7513331F}">
  <ds:schemaRefs/>
</ds:datastoreItem>
</file>

<file path=docProps/app.xml><?xml version="1.0" encoding="utf-8"?>
<Properties xmlns="http://schemas.openxmlformats.org/officeDocument/2006/extended-properties" xmlns:vt="http://schemas.openxmlformats.org/officeDocument/2006/docPropsVTypes">
  <Template>Normal</Template>
  <Pages>1</Pages>
  <Words>1070</Words>
  <Characters>6101</Characters>
  <Lines>50</Lines>
  <Paragraphs>14</Paragraphs>
  <TotalTime>26</TotalTime>
  <ScaleCrop>false</ScaleCrop>
  <LinksUpToDate>false</LinksUpToDate>
  <CharactersWithSpaces>7157</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2025-07-31T11:06:00Z</dcterms:created>
  <dc:creator>jxxt</dc:creator>
  <cp:lastModifiedBy>聂晓慧</cp:lastModifiedBy>
  <dcterms:modified xsi:type="dcterms:W3CDTF">2025-08-01T05:38:09Z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